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026D" w14:textId="77777777" w:rsidR="00AA5DB3" w:rsidRDefault="00AA5DB3" w:rsidP="00AA5DB3">
      <w:pPr>
        <w:pStyle w:val="Kop2"/>
        <w:shd w:val="clear" w:color="auto" w:fill="FFFFFF"/>
        <w:spacing w:before="0"/>
        <w:rPr>
          <w:rFonts w:ascii="Titillium Web" w:hAnsi="Titillium Web"/>
          <w:color w:val="0058B6"/>
          <w:sz w:val="50"/>
          <w:szCs w:val="50"/>
        </w:rPr>
      </w:pPr>
      <w:r>
        <w:rPr>
          <w:rFonts w:ascii="Titillium Web" w:hAnsi="Titillium Web"/>
          <w:b/>
          <w:bCs/>
          <w:color w:val="0058B6"/>
          <w:sz w:val="50"/>
          <w:szCs w:val="50"/>
        </w:rPr>
        <w:t>Overeenkomst over de toepassing van artikel 19 van het Belgisch-Amerikaans Verdrag van 27 november 2006</w:t>
      </w:r>
    </w:p>
    <w:p w14:paraId="2AACF341" w14:textId="77777777" w:rsidR="00AA5DB3" w:rsidRDefault="00AA5DB3" w:rsidP="00AA5DB3">
      <w:pPr>
        <w:rPr>
          <w:rFonts w:ascii="Times New Roman" w:hAnsi="Times New Roman"/>
          <w:sz w:val="24"/>
          <w:szCs w:val="24"/>
        </w:rPr>
      </w:pPr>
      <w:r>
        <w:rPr>
          <w:rFonts w:ascii="Tahoma" w:hAnsi="Tahoma" w:cs="Tahoma"/>
          <w:color w:val="353535"/>
          <w:sz w:val="21"/>
          <w:szCs w:val="21"/>
          <w:shd w:val="clear" w:color="auto" w:fill="FFFFFF"/>
        </w:rPr>
        <w:t>﻿</w:t>
      </w:r>
    </w:p>
    <w:p w14:paraId="47FCCE91" w14:textId="77777777" w:rsidR="00AA5DB3" w:rsidRDefault="00AA5DB3" w:rsidP="00AA5DB3">
      <w:pPr>
        <w:shd w:val="clear" w:color="auto" w:fill="FFFFFF"/>
        <w:spacing w:after="100" w:afterAutospacing="1" w:line="360" w:lineRule="atLeast"/>
        <w:jc w:val="center"/>
        <w:rPr>
          <w:rFonts w:ascii="Titillium Web" w:hAnsi="Titillium Web"/>
          <w:color w:val="353535"/>
          <w:sz w:val="21"/>
          <w:szCs w:val="21"/>
        </w:rPr>
      </w:pPr>
      <w:r>
        <w:rPr>
          <w:rStyle w:val="Zwaar"/>
          <w:rFonts w:ascii="Verdana" w:hAnsi="Verdana"/>
          <w:color w:val="353535"/>
          <w:sz w:val="18"/>
          <w:szCs w:val="18"/>
        </w:rPr>
        <w:t>FEDERALE OVERHEIDSDIENST FINANCIEN</w:t>
      </w:r>
    </w:p>
    <w:p w14:paraId="488D753B"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Style w:val="Zwaar"/>
          <w:rFonts w:ascii="Verdana" w:hAnsi="Verdana"/>
          <w:color w:val="353535"/>
          <w:sz w:val="18"/>
          <w:szCs w:val="18"/>
        </w:rPr>
        <w:t> </w:t>
      </w:r>
    </w:p>
    <w:p w14:paraId="75D72921"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Style w:val="Zwaar"/>
          <w:rFonts w:ascii="Verdana" w:hAnsi="Verdana"/>
          <w:color w:val="353535"/>
          <w:sz w:val="18"/>
          <w:szCs w:val="18"/>
        </w:rPr>
        <w:t>Algemene administratie van de Fiscaliteit.</w:t>
      </w:r>
    </w:p>
    <w:p w14:paraId="5A51C8E1"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Style w:val="Zwaar"/>
          <w:rFonts w:ascii="Verdana" w:hAnsi="Verdana"/>
          <w:color w:val="353535"/>
          <w:sz w:val="18"/>
          <w:szCs w:val="18"/>
        </w:rPr>
        <w:t> </w:t>
      </w:r>
    </w:p>
    <w:p w14:paraId="0E943D2D"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Style w:val="Zwaar"/>
          <w:rFonts w:ascii="Verdana" w:hAnsi="Verdana"/>
          <w:color w:val="353535"/>
          <w:sz w:val="18"/>
          <w:szCs w:val="18"/>
        </w:rPr>
        <w:t>Overeenkomst tussen de Belgische en Amerikaanse autoriteiten over de toepassing  van artikel 19 van het Belgisch-Amerikaans Verdrag tot vermijding van dubbele belasting van 27 november 2006</w:t>
      </w:r>
    </w:p>
    <w:p w14:paraId="67FBAE3A"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3D57E0D4"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De bevoegde autoriteiten van de Verenigde Staten en België hebben met betrekking tot de toepassing van de </w:t>
      </w:r>
      <w:r>
        <w:rPr>
          <w:rStyle w:val="Zwaar"/>
          <w:rFonts w:ascii="Verdana" w:hAnsi="Verdana"/>
          <w:b w:val="0"/>
          <w:bCs w:val="0"/>
          <w:color w:val="353535"/>
          <w:sz w:val="18"/>
          <w:szCs w:val="18"/>
        </w:rPr>
        <w:t>Overeenkomst tussen de Regering van het Koninkrijk België en de Regering van de Verenigde Staten van Amerika tot het vermijden van dubbele belasting en van het ontgaan van belasting inzake</w:t>
      </w:r>
      <w:r>
        <w:rPr>
          <w:rFonts w:ascii="Verdana" w:hAnsi="Verdana"/>
          <w:color w:val="353535"/>
          <w:sz w:val="18"/>
          <w:szCs w:val="18"/>
        </w:rPr>
        <w:t> belastingen naar het inkomen en het aanvullend Protocol (het "verdrag"), getekend te Brussel op 27 november 2006, het volgende akkoord, inzake beurzen toegekend aan onderzoekers, afgesloten. Het betreft een akkoord op basis van artikel 24§3 (procedure tot onderling overleg) van het verdrag.</w:t>
      </w:r>
    </w:p>
    <w:p w14:paraId="6F590539"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452A3E3D"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Een beurs, toegekend aan een natuurlijk persoon die inwoner is van een verdragsluitende staat (i.e. woonstaat), om onderzoek uit te voeren in een onderwijsinstelling of een onderzoeksinstituut in de andere verdragsluitende staat (i.e. de gaststaat) kan, afhankelijk van de feiten en omstandigheden, beschouwd worden als een compensatie.</w:t>
      </w:r>
    </w:p>
    <w:p w14:paraId="00A27E9C"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74DFCEFB"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xml:space="preserve">Er werd overeengekomen dat, indien een beurs, volgens de bepalingen van de interne wetgeving van de gaststaat, als een compensatie beschouwd wordt, deze beurs onder het toepassingsgebied van artikel 19§2 (Studenten, stageairs, leraars en onderzoekers)  van het verdrag valt. De beurs </w:t>
      </w:r>
      <w:r>
        <w:rPr>
          <w:rFonts w:ascii="Verdana" w:hAnsi="Verdana"/>
          <w:color w:val="353535"/>
          <w:sz w:val="18"/>
          <w:szCs w:val="18"/>
        </w:rPr>
        <w:lastRenderedPageBreak/>
        <w:t>wordt vrijgesteld van inkomstenbelastingen in de gaststaat gedurende een periode die de twee jaar niet overschrijdt, en voor zover alle voorwaarden hiertoe voldaan zijn.</w:t>
      </w:r>
    </w:p>
    <w:p w14:paraId="491468BF"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2F034C9E"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Er werd eveneens overeengekomen dat indien een beurs, volgens de bepalingen van de interne wetgeving van de gaststaat, niet als een compensatie beschouwd wordt, deze beurs onder het toepassingsgebied van artikel 20 (andere inkomsten) van het verdrag valt. De beurs wordt vrijgesteld van inkomstenbelastingen in de gaststaat voor zover alle voorwaarden hiertoe voldaan zijn.</w:t>
      </w:r>
    </w:p>
    <w:p w14:paraId="2C9F0C16"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6C9F74CB"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Tenslotte werd overeengekomen dat artikel 21§1,a,iii van het oude Belgisch-Amerikaans dubbelbelastingverdrag, getekend te Brussel op 9 juli 1970 en aangepast door een Protocol, getekend te Washington op 31 december 1987 van toepassing is op beurzen ongeacht of deze beurzen als compensatie beschouwd worden of niet.</w:t>
      </w:r>
    </w:p>
    <w:p w14:paraId="3C50708E"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74FAC522"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5369A97A"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17979E8A"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2EA9D938"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xml:space="preserve">Michaël </w:t>
      </w:r>
      <w:proofErr w:type="spellStart"/>
      <w:r>
        <w:rPr>
          <w:rFonts w:ascii="Verdana" w:hAnsi="Verdana"/>
          <w:color w:val="353535"/>
          <w:sz w:val="18"/>
          <w:szCs w:val="18"/>
        </w:rPr>
        <w:t>Danilack</w:t>
      </w:r>
      <w:proofErr w:type="spellEnd"/>
      <w:r>
        <w:rPr>
          <w:rFonts w:ascii="Verdana" w:hAnsi="Verdana"/>
          <w:color w:val="353535"/>
          <w:sz w:val="18"/>
          <w:szCs w:val="18"/>
        </w:rPr>
        <w:t xml:space="preserve">, 14 juli 2010                                                Sandra </w:t>
      </w:r>
      <w:proofErr w:type="spellStart"/>
      <w:r>
        <w:rPr>
          <w:rFonts w:ascii="Verdana" w:hAnsi="Verdana"/>
          <w:color w:val="353535"/>
          <w:sz w:val="18"/>
          <w:szCs w:val="18"/>
        </w:rPr>
        <w:t>Knaepen</w:t>
      </w:r>
      <w:proofErr w:type="spellEnd"/>
      <w:r>
        <w:rPr>
          <w:rFonts w:ascii="Verdana" w:hAnsi="Verdana"/>
          <w:color w:val="353535"/>
          <w:sz w:val="18"/>
          <w:szCs w:val="18"/>
        </w:rPr>
        <w:t>, 29 juni 2010</w:t>
      </w:r>
    </w:p>
    <w:p w14:paraId="44FEFEF4"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US Competent Authority                                                        Belgische bevoegde autoriteit</w:t>
      </w:r>
    </w:p>
    <w:p w14:paraId="0587A6AB" w14:textId="77777777" w:rsidR="00AA5DB3" w:rsidRDefault="00AA5DB3" w:rsidP="00AA5DB3">
      <w:pPr>
        <w:shd w:val="clear" w:color="auto" w:fill="FFFFFF"/>
        <w:spacing w:after="100" w:afterAutospacing="1" w:line="360" w:lineRule="atLeast"/>
        <w:jc w:val="both"/>
        <w:rPr>
          <w:rFonts w:ascii="Titillium Web" w:hAnsi="Titillium Web"/>
          <w:color w:val="353535"/>
          <w:sz w:val="21"/>
          <w:szCs w:val="21"/>
        </w:rPr>
      </w:pPr>
      <w:r>
        <w:rPr>
          <w:rFonts w:ascii="Verdana" w:hAnsi="Verdana"/>
          <w:color w:val="353535"/>
          <w:sz w:val="18"/>
          <w:szCs w:val="18"/>
        </w:rPr>
        <w:t> </w:t>
      </w:r>
    </w:p>
    <w:p w14:paraId="0D54B7E0" w14:textId="77777777" w:rsidR="00E75DFD" w:rsidRDefault="00E75DFD" w:rsidP="00E75DFD">
      <w:pPr>
        <w:jc w:val="both"/>
      </w:pPr>
    </w:p>
    <w:p w14:paraId="061ED3EF" w14:textId="77777777" w:rsidR="00E75DFD" w:rsidRPr="00E75DFD" w:rsidRDefault="00E75DFD" w:rsidP="00E75DFD">
      <w:pPr>
        <w:jc w:val="both"/>
      </w:pPr>
    </w:p>
    <w:sectPr w:rsidR="00E75DFD" w:rsidRPr="00E7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12EA7"/>
    <w:multiLevelType w:val="multilevel"/>
    <w:tmpl w:val="DCC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4"/>
  </w:num>
  <w:num w:numId="4">
    <w:abstractNumId w:val="36"/>
  </w:num>
  <w:num w:numId="5">
    <w:abstractNumId w:val="5"/>
  </w:num>
  <w:num w:numId="6">
    <w:abstractNumId w:val="8"/>
  </w:num>
  <w:num w:numId="7">
    <w:abstractNumId w:val="37"/>
  </w:num>
  <w:num w:numId="8">
    <w:abstractNumId w:val="31"/>
  </w:num>
  <w:num w:numId="9">
    <w:abstractNumId w:val="15"/>
  </w:num>
  <w:num w:numId="10">
    <w:abstractNumId w:val="10"/>
  </w:num>
  <w:num w:numId="11">
    <w:abstractNumId w:val="35"/>
  </w:num>
  <w:num w:numId="12">
    <w:abstractNumId w:val="20"/>
  </w:num>
  <w:num w:numId="13">
    <w:abstractNumId w:val="38"/>
  </w:num>
  <w:num w:numId="14">
    <w:abstractNumId w:val="25"/>
  </w:num>
  <w:num w:numId="15">
    <w:abstractNumId w:val="19"/>
  </w:num>
  <w:num w:numId="16">
    <w:abstractNumId w:val="9"/>
  </w:num>
  <w:num w:numId="17">
    <w:abstractNumId w:val="3"/>
  </w:num>
  <w:num w:numId="18">
    <w:abstractNumId w:val="12"/>
  </w:num>
  <w:num w:numId="19">
    <w:abstractNumId w:val="34"/>
  </w:num>
  <w:num w:numId="20">
    <w:abstractNumId w:val="30"/>
  </w:num>
  <w:num w:numId="21">
    <w:abstractNumId w:val="2"/>
  </w:num>
  <w:num w:numId="22">
    <w:abstractNumId w:val="26"/>
  </w:num>
  <w:num w:numId="23">
    <w:abstractNumId w:val="24"/>
  </w:num>
  <w:num w:numId="24">
    <w:abstractNumId w:val="29"/>
  </w:num>
  <w:num w:numId="25">
    <w:abstractNumId w:val="33"/>
  </w:num>
  <w:num w:numId="26">
    <w:abstractNumId w:val="7"/>
  </w:num>
  <w:num w:numId="27">
    <w:abstractNumId w:val="13"/>
  </w:num>
  <w:num w:numId="28">
    <w:abstractNumId w:val="4"/>
  </w:num>
  <w:num w:numId="29">
    <w:abstractNumId w:val="16"/>
  </w:num>
  <w:num w:numId="30">
    <w:abstractNumId w:val="23"/>
  </w:num>
  <w:num w:numId="31">
    <w:abstractNumId w:val="32"/>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9"/>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235A"/>
    <w:rsid w:val="00025704"/>
    <w:rsid w:val="00044FEC"/>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5F265E"/>
    <w:rsid w:val="0061753A"/>
    <w:rsid w:val="006206B0"/>
    <w:rsid w:val="00636460"/>
    <w:rsid w:val="0064181D"/>
    <w:rsid w:val="006451C8"/>
    <w:rsid w:val="006533C4"/>
    <w:rsid w:val="00687173"/>
    <w:rsid w:val="006A2EED"/>
    <w:rsid w:val="006C3A83"/>
    <w:rsid w:val="006D6E53"/>
    <w:rsid w:val="006F4797"/>
    <w:rsid w:val="0070085F"/>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7031D"/>
    <w:rsid w:val="0098170B"/>
    <w:rsid w:val="009B6F03"/>
    <w:rsid w:val="00A16DDA"/>
    <w:rsid w:val="00A237A1"/>
    <w:rsid w:val="00A35916"/>
    <w:rsid w:val="00A403C7"/>
    <w:rsid w:val="00A44B57"/>
    <w:rsid w:val="00A95A17"/>
    <w:rsid w:val="00AA5DB3"/>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97F92"/>
    <w:rsid w:val="00DB2407"/>
    <w:rsid w:val="00DC0842"/>
    <w:rsid w:val="00DE15CC"/>
    <w:rsid w:val="00DF1BC9"/>
    <w:rsid w:val="00DF4242"/>
    <w:rsid w:val="00DF658E"/>
    <w:rsid w:val="00E068F2"/>
    <w:rsid w:val="00E61CAD"/>
    <w:rsid w:val="00E75DFD"/>
    <w:rsid w:val="00EB080A"/>
    <w:rsid w:val="00ED4BEC"/>
    <w:rsid w:val="00ED54D3"/>
    <w:rsid w:val="00EE6BE5"/>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FBBD"/>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uiPriority w:val="99"/>
    <w:semiHidden/>
    <w:unhideWhenUsed/>
    <w:rsid w:val="00D97F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oetnoottekstChar">
    <w:name w:val="Voetnoottekst Char"/>
    <w:basedOn w:val="Standaardalinea-lettertype"/>
    <w:link w:val="Voetnoottekst"/>
    <w:uiPriority w:val="99"/>
    <w:semiHidden/>
    <w:rsid w:val="00D97F92"/>
    <w:rPr>
      <w:rFonts w:ascii="Times New Roman" w:eastAsia="Times New Roman" w:hAnsi="Times New Roman" w:cs="Times New Roman"/>
      <w:sz w:val="24"/>
      <w:szCs w:val="24"/>
      <w:lang w:val="en-GB" w:eastAsia="en-GB"/>
    </w:rPr>
  </w:style>
  <w:style w:type="character" w:customStyle="1" w:styleId="grame">
    <w:name w:val="grame"/>
    <w:basedOn w:val="Standaardalinea-lettertype"/>
    <w:rsid w:val="00044FEC"/>
  </w:style>
  <w:style w:type="character" w:customStyle="1" w:styleId="spelle">
    <w:name w:val="spelle"/>
    <w:basedOn w:val="Standaardalinea-lettertype"/>
    <w:rsid w:val="0004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02851337">
      <w:bodyDiv w:val="1"/>
      <w:marLeft w:val="0"/>
      <w:marRight w:val="0"/>
      <w:marTop w:val="0"/>
      <w:marBottom w:val="0"/>
      <w:divBdr>
        <w:top w:val="none" w:sz="0" w:space="0" w:color="auto"/>
        <w:left w:val="none" w:sz="0" w:space="0" w:color="auto"/>
        <w:bottom w:val="none" w:sz="0" w:space="0" w:color="auto"/>
        <w:right w:val="none" w:sz="0" w:space="0" w:color="auto"/>
      </w:divBdr>
      <w:divsChild>
        <w:div w:id="137840879">
          <w:marLeft w:val="0"/>
          <w:marRight w:val="0"/>
          <w:marTop w:val="0"/>
          <w:marBottom w:val="0"/>
          <w:divBdr>
            <w:top w:val="none" w:sz="0" w:space="0" w:color="auto"/>
            <w:left w:val="none" w:sz="0" w:space="0" w:color="auto"/>
            <w:bottom w:val="none" w:sz="0" w:space="0" w:color="auto"/>
            <w:right w:val="none" w:sz="0" w:space="0" w:color="auto"/>
          </w:divBdr>
          <w:divsChild>
            <w:div w:id="18596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115">
      <w:bodyDiv w:val="1"/>
      <w:marLeft w:val="0"/>
      <w:marRight w:val="0"/>
      <w:marTop w:val="0"/>
      <w:marBottom w:val="0"/>
      <w:divBdr>
        <w:top w:val="none" w:sz="0" w:space="0" w:color="auto"/>
        <w:left w:val="none" w:sz="0" w:space="0" w:color="auto"/>
        <w:bottom w:val="none" w:sz="0" w:space="0" w:color="auto"/>
        <w:right w:val="none" w:sz="0" w:space="0" w:color="auto"/>
      </w:divBdr>
      <w:divsChild>
        <w:div w:id="39316381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9407">
      <w:bodyDiv w:val="1"/>
      <w:marLeft w:val="0"/>
      <w:marRight w:val="0"/>
      <w:marTop w:val="0"/>
      <w:marBottom w:val="0"/>
      <w:divBdr>
        <w:top w:val="none" w:sz="0" w:space="0" w:color="auto"/>
        <w:left w:val="none" w:sz="0" w:space="0" w:color="auto"/>
        <w:bottom w:val="none" w:sz="0" w:space="0" w:color="auto"/>
        <w:right w:val="none" w:sz="0" w:space="0" w:color="auto"/>
      </w:divBdr>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63316160">
      <w:bodyDiv w:val="1"/>
      <w:marLeft w:val="0"/>
      <w:marRight w:val="0"/>
      <w:marTop w:val="0"/>
      <w:marBottom w:val="0"/>
      <w:divBdr>
        <w:top w:val="none" w:sz="0" w:space="0" w:color="auto"/>
        <w:left w:val="none" w:sz="0" w:space="0" w:color="auto"/>
        <w:bottom w:val="none" w:sz="0" w:space="0" w:color="auto"/>
        <w:right w:val="none" w:sz="0" w:space="0" w:color="auto"/>
      </w:divBdr>
      <w:divsChild>
        <w:div w:id="69481595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3108392">
      <w:bodyDiv w:val="1"/>
      <w:marLeft w:val="0"/>
      <w:marRight w:val="0"/>
      <w:marTop w:val="0"/>
      <w:marBottom w:val="0"/>
      <w:divBdr>
        <w:top w:val="none" w:sz="0" w:space="0" w:color="auto"/>
        <w:left w:val="none" w:sz="0" w:space="0" w:color="auto"/>
        <w:bottom w:val="none" w:sz="0" w:space="0" w:color="auto"/>
        <w:right w:val="none" w:sz="0" w:space="0" w:color="auto"/>
      </w:divBdr>
      <w:divsChild>
        <w:div w:id="258106818">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2861764">
      <w:bodyDiv w:val="1"/>
      <w:marLeft w:val="0"/>
      <w:marRight w:val="0"/>
      <w:marTop w:val="0"/>
      <w:marBottom w:val="0"/>
      <w:divBdr>
        <w:top w:val="none" w:sz="0" w:space="0" w:color="auto"/>
        <w:left w:val="none" w:sz="0" w:space="0" w:color="auto"/>
        <w:bottom w:val="none" w:sz="0" w:space="0" w:color="auto"/>
        <w:right w:val="none" w:sz="0" w:space="0" w:color="auto"/>
      </w:divBdr>
      <w:divsChild>
        <w:div w:id="1430657432">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91073412">
      <w:bodyDiv w:val="1"/>
      <w:marLeft w:val="0"/>
      <w:marRight w:val="0"/>
      <w:marTop w:val="0"/>
      <w:marBottom w:val="0"/>
      <w:divBdr>
        <w:top w:val="none" w:sz="0" w:space="0" w:color="auto"/>
        <w:left w:val="none" w:sz="0" w:space="0" w:color="auto"/>
        <w:bottom w:val="none" w:sz="0" w:space="0" w:color="auto"/>
        <w:right w:val="none" w:sz="0" w:space="0" w:color="auto"/>
      </w:divBdr>
      <w:divsChild>
        <w:div w:id="1665162182">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Bertien Van Peer</cp:lastModifiedBy>
  <cp:revision>4</cp:revision>
  <dcterms:created xsi:type="dcterms:W3CDTF">2019-05-23T16:47:00Z</dcterms:created>
  <dcterms:modified xsi:type="dcterms:W3CDTF">2020-07-17T08:12:00Z</dcterms:modified>
</cp:coreProperties>
</file>