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FEC" w:rsidRPr="00044FEC" w:rsidRDefault="00044FEC" w:rsidP="00044FEC">
      <w:pPr>
        <w:pStyle w:val="Kop1"/>
        <w:shd w:val="clear" w:color="auto" w:fill="FFFFFF"/>
        <w:rPr>
          <w:rFonts w:ascii="Titillium Web" w:hAnsi="Titillium Web"/>
          <w:b w:val="0"/>
          <w:bCs w:val="0"/>
          <w:color w:val="777777"/>
          <w:sz w:val="55"/>
          <w:szCs w:val="55"/>
          <w:lang w:val="nl-BE"/>
        </w:rPr>
      </w:pPr>
      <w:r w:rsidRPr="00044FEC">
        <w:rPr>
          <w:rFonts w:ascii="Titillium Web" w:hAnsi="Titillium Web"/>
          <w:b w:val="0"/>
          <w:bCs w:val="0"/>
          <w:color w:val="777777"/>
          <w:sz w:val="55"/>
          <w:szCs w:val="55"/>
          <w:lang w:val="nl-BE"/>
        </w:rPr>
        <w:t>Onderling overleg betreffende artikel 17 §7 en §9 : Types van pensioenplannen</w:t>
      </w:r>
    </w:p>
    <w:p w:rsidR="00044FEC" w:rsidRDefault="00044FEC" w:rsidP="00044FEC">
      <w:pPr>
        <w:rPr>
          <w:rFonts w:ascii="Times New Roman" w:hAnsi="Times New Roman"/>
          <w:sz w:val="24"/>
          <w:szCs w:val="24"/>
        </w:rPr>
      </w:pPr>
      <w:r>
        <w:rPr>
          <w:rFonts w:ascii="Titillium Web" w:hAnsi="Titillium Web"/>
          <w:color w:val="444444"/>
          <w:sz w:val="20"/>
          <w:szCs w:val="20"/>
        </w:rPr>
        <w:br/>
      </w:r>
    </w:p>
    <w:p w:rsidR="00044FEC" w:rsidRDefault="00044FEC" w:rsidP="00044FEC">
      <w:pPr>
        <w:shd w:val="clear" w:color="auto" w:fill="FFFFFF"/>
        <w:spacing w:before="100" w:beforeAutospacing="1" w:after="100" w:afterAutospacing="1"/>
        <w:jc w:val="center"/>
        <w:rPr>
          <w:rFonts w:ascii="Titillium Web" w:hAnsi="Titillium Web"/>
          <w:color w:val="444444"/>
          <w:sz w:val="20"/>
          <w:szCs w:val="20"/>
        </w:rPr>
      </w:pPr>
      <w:r>
        <w:rPr>
          <w:rStyle w:val="Zwaar"/>
          <w:rFonts w:ascii="Verdana" w:hAnsi="Verdana"/>
          <w:color w:val="444444"/>
          <w:sz w:val="18"/>
          <w:szCs w:val="18"/>
        </w:rPr>
        <w:t>OVEREENKOMST TUSSEN BEVOEGDE AUTORITEITEN</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De bevoegde autoriteiten van de Verenigde Staten en België zijn tot de volgende overeenkomst (“de Overeenkomst”) gekomen met betrekking tot de soorten pensioenplannen die in beide overeenkomstsluitende staten bestaan en die </w:t>
      </w:r>
      <w:r>
        <w:rPr>
          <w:rStyle w:val="grame"/>
          <w:rFonts w:ascii="Verdana" w:hAnsi="Verdana"/>
          <w:color w:val="444444"/>
          <w:sz w:val="18"/>
          <w:szCs w:val="18"/>
        </w:rPr>
        <w:t>geacht</w:t>
      </w:r>
      <w:r>
        <w:rPr>
          <w:rFonts w:ascii="Verdana" w:hAnsi="Verdana"/>
          <w:color w:val="444444"/>
          <w:sz w:val="18"/>
          <w:szCs w:val="18"/>
        </w:rPr>
        <w:t> worden om over het algemeen overeen te stemmen met een pensioenplan dat voor belastingdoeleinden erkend wordt in de andere overeenkomstsluitende staat zoals vereist in paragraaf 7 en 9 van artikel 17 (Pensioenen, Sociale Zekerheid, Lijfrenten en Uitkeringen tot onderhoud) van de Overeenkomst tussen de Regeringen van het Koninkrijk België en de Verenigde Staten van Amerika tot het vermijden van dubbele belasting en van het ontgaan van belasting inzake belastingen naar het inkomen, ondertekend in Brussel op 27 november 2006 (het “Verdrag”). De overeenkomst werd gesloten onder de bepalingen van artikel 24 paragraaf 3 (procedure tot onderling overleg).</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De bevoegde autoriteiten zijn het volgende overeengekomen:</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1) </w:t>
      </w:r>
      <w:r>
        <w:rPr>
          <w:rFonts w:ascii="Verdana" w:hAnsi="Verdana"/>
          <w:color w:val="444444"/>
          <w:sz w:val="18"/>
          <w:szCs w:val="18"/>
          <w:u w:val="single"/>
        </w:rPr>
        <w:t>Belgische pensioenen</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br/>
        <w:t>Voor de toepassing van paragrafen 7 en 9 van artikel 17 worden de volgende in België opgerichte pensioenplannen geacht om overeen te stemmen met een voor belastingdoeleinden erkend pensioenplan in de Verenigde Staten:</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br/>
      </w:r>
      <w:r>
        <w:rPr>
          <w:rStyle w:val="grame"/>
          <w:rFonts w:ascii="Verdana" w:hAnsi="Verdana"/>
          <w:color w:val="444444"/>
          <w:sz w:val="18"/>
          <w:szCs w:val="18"/>
        </w:rPr>
        <w:t>a</w:t>
      </w:r>
      <w:r>
        <w:rPr>
          <w:rFonts w:ascii="Verdana" w:hAnsi="Verdana"/>
          <w:color w:val="444444"/>
          <w:sz w:val="18"/>
          <w:szCs w:val="18"/>
        </w:rPr>
        <w:t>) een gekwalificeerde aanvullende pensioenregeling in de zin van artikel 52, 3°, b van het Wetboek van de Inkomstenbelastingen 1992,</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Style w:val="grame"/>
          <w:rFonts w:ascii="Verdana" w:hAnsi="Verdana"/>
          <w:color w:val="444444"/>
          <w:sz w:val="18"/>
          <w:szCs w:val="18"/>
        </w:rPr>
        <w:t>b</w:t>
      </w:r>
      <w:r>
        <w:rPr>
          <w:rFonts w:ascii="Verdana" w:hAnsi="Verdana"/>
          <w:color w:val="444444"/>
          <w:sz w:val="18"/>
          <w:szCs w:val="18"/>
        </w:rPr>
        <w:t>) een gekwalificeerde aanvullende pensioenregeling in de zin van artikel 52, 7° bis van het Wetboek van de Inkomstenbelastingen 1992,</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Style w:val="grame"/>
          <w:rFonts w:ascii="Verdana" w:hAnsi="Verdana"/>
          <w:color w:val="444444"/>
          <w:sz w:val="18"/>
          <w:szCs w:val="18"/>
        </w:rPr>
        <w:t>c</w:t>
      </w:r>
      <w:r>
        <w:rPr>
          <w:rFonts w:ascii="Verdana" w:hAnsi="Verdana"/>
          <w:color w:val="444444"/>
          <w:sz w:val="18"/>
          <w:szCs w:val="18"/>
        </w:rPr>
        <w:t>) een gekwalificeerde aanvullende pensioenregeling in de zin van artikel 59 van het Wetboek van de Inkomstenbelastingen 1992,</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lastRenderedPageBreak/>
        <w:br/>
      </w:r>
      <w:r>
        <w:rPr>
          <w:rStyle w:val="grame"/>
          <w:rFonts w:ascii="Verdana" w:hAnsi="Verdana"/>
          <w:color w:val="444444"/>
          <w:sz w:val="18"/>
          <w:szCs w:val="18"/>
        </w:rPr>
        <w:t>d</w:t>
      </w:r>
      <w:r>
        <w:rPr>
          <w:rFonts w:ascii="Verdana" w:hAnsi="Verdana"/>
          <w:color w:val="444444"/>
          <w:sz w:val="18"/>
          <w:szCs w:val="18"/>
        </w:rPr>
        <w:t>) een gekwalificeerde aanvullende pensioenregeling in de zin van artikel 145-1, 1° van het Wetboek van de Inkomstenbelastingen 1992, en</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br/>
      </w:r>
      <w:r>
        <w:rPr>
          <w:rStyle w:val="grame"/>
          <w:rFonts w:ascii="Verdana" w:hAnsi="Verdana"/>
          <w:color w:val="444444"/>
          <w:sz w:val="18"/>
          <w:szCs w:val="18"/>
        </w:rPr>
        <w:t>e</w:t>
      </w:r>
      <w:r>
        <w:rPr>
          <w:rFonts w:ascii="Verdana" w:hAnsi="Verdana"/>
          <w:color w:val="444444"/>
          <w:sz w:val="18"/>
          <w:szCs w:val="18"/>
        </w:rPr>
        <w:t>) een gekwalificeerde aanvullende pensioenregeling in de zin van artikel 145-3 van het Wetboek van de Inkomstenbelastingen 1992,</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2) </w:t>
      </w:r>
      <w:r>
        <w:rPr>
          <w:rFonts w:ascii="Verdana" w:hAnsi="Verdana"/>
          <w:color w:val="444444"/>
          <w:sz w:val="18"/>
          <w:szCs w:val="18"/>
          <w:u w:val="single"/>
        </w:rPr>
        <w:t>Amerikaanse pensioenen</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Voor de toepassing van paragrafen 7 en 9 van artikel 17 worden de volgende in de Verenigde Staten opgerichte pensioenplannen geacht om overeen te stemmen met een voor belastingdoeleinden erkend pensioenplan in België:</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ind w:left="720" w:hanging="360"/>
        <w:jc w:val="both"/>
        <w:rPr>
          <w:rFonts w:ascii="Titillium Web" w:hAnsi="Titillium Web"/>
          <w:color w:val="444444"/>
          <w:sz w:val="20"/>
          <w:szCs w:val="20"/>
        </w:rPr>
      </w:pPr>
      <w:r>
        <w:rPr>
          <w:rStyle w:val="grame"/>
          <w:rFonts w:ascii="Verdana" w:hAnsi="Verdana"/>
          <w:color w:val="444444"/>
          <w:sz w:val="18"/>
          <w:szCs w:val="18"/>
        </w:rPr>
        <w:t>a</w:t>
      </w:r>
      <w:r>
        <w:rPr>
          <w:rFonts w:ascii="Verdana" w:hAnsi="Verdana"/>
          <w:color w:val="444444"/>
          <w:sz w:val="18"/>
          <w:szCs w:val="18"/>
        </w:rPr>
        <w:t>)</w:t>
      </w:r>
      <w:r>
        <w:rPr>
          <w:rFonts w:ascii="Titillium Web" w:hAnsi="Titillium Web"/>
          <w:color w:val="444444"/>
          <w:sz w:val="14"/>
          <w:szCs w:val="14"/>
        </w:rPr>
        <w:t>      </w:t>
      </w:r>
      <w:r>
        <w:rPr>
          <w:rFonts w:ascii="Verdana" w:hAnsi="Verdana"/>
          <w:color w:val="444444"/>
          <w:sz w:val="18"/>
          <w:szCs w:val="18"/>
        </w:rPr>
        <w:t>een gekwalificeerd plan dat onder sectie 401(a) van de </w:t>
      </w:r>
      <w:proofErr w:type="spellStart"/>
      <w:r>
        <w:rPr>
          <w:rStyle w:val="spelle"/>
          <w:rFonts w:ascii="Verdana" w:hAnsi="Verdana"/>
          <w:color w:val="444444"/>
          <w:sz w:val="18"/>
          <w:szCs w:val="18"/>
        </w:rPr>
        <w:t>InternalRevenue</w:t>
      </w:r>
      <w:proofErr w:type="spellEnd"/>
      <w:r>
        <w:rPr>
          <w:rFonts w:ascii="Verdana" w:hAnsi="Verdana"/>
          <w:color w:val="444444"/>
          <w:sz w:val="18"/>
          <w:szCs w:val="18"/>
        </w:rPr>
        <w:t> Code (“Code”) (met inbegrip van een Code sectie 401 (k) regeling)</w:t>
      </w:r>
    </w:p>
    <w:p w:rsidR="00044FEC" w:rsidRDefault="00044FEC" w:rsidP="00044FEC">
      <w:pPr>
        <w:shd w:val="clear" w:color="auto" w:fill="FFFFFF"/>
        <w:spacing w:before="100" w:beforeAutospacing="1" w:after="100" w:afterAutospacing="1"/>
        <w:ind w:left="720" w:hanging="360"/>
        <w:jc w:val="both"/>
        <w:rPr>
          <w:rFonts w:ascii="Titillium Web" w:hAnsi="Titillium Web"/>
          <w:color w:val="444444"/>
          <w:sz w:val="20"/>
          <w:szCs w:val="20"/>
        </w:rPr>
      </w:pPr>
      <w:r>
        <w:rPr>
          <w:rStyle w:val="grame"/>
          <w:rFonts w:ascii="Verdana" w:hAnsi="Verdana"/>
          <w:color w:val="444444"/>
          <w:sz w:val="18"/>
          <w:szCs w:val="18"/>
        </w:rPr>
        <w:t>b</w:t>
      </w:r>
      <w:r>
        <w:rPr>
          <w:rFonts w:ascii="Verdana" w:hAnsi="Verdana"/>
          <w:color w:val="444444"/>
          <w:sz w:val="18"/>
          <w:szCs w:val="18"/>
        </w:rPr>
        <w:t>)</w:t>
      </w:r>
      <w:r>
        <w:rPr>
          <w:rFonts w:ascii="Titillium Web" w:hAnsi="Titillium Web"/>
          <w:color w:val="444444"/>
          <w:sz w:val="14"/>
          <w:szCs w:val="14"/>
        </w:rPr>
        <w:t>      </w:t>
      </w:r>
      <w:r>
        <w:rPr>
          <w:rFonts w:ascii="Verdana" w:hAnsi="Verdana"/>
          <w:color w:val="444444"/>
          <w:sz w:val="18"/>
          <w:szCs w:val="18"/>
        </w:rPr>
        <w:t>een individueel pensioenplan (inclusief een individueel pensioenplan dat een onderdeel is van een vereenvoudigd pensioenplan voor werknemers dat voldoet aan Code sectie 408 (k)), een individuele pensioenrekening, een individuele pensioenlijfrente, een Code sectie 408(p) rekening, en een </w:t>
      </w:r>
      <w:r>
        <w:rPr>
          <w:rStyle w:val="spelle"/>
          <w:rFonts w:ascii="Verdana" w:hAnsi="Verdana"/>
          <w:color w:val="444444"/>
          <w:sz w:val="18"/>
          <w:szCs w:val="18"/>
        </w:rPr>
        <w:t>Roth</w:t>
      </w:r>
      <w:r>
        <w:rPr>
          <w:rFonts w:ascii="Verdana" w:hAnsi="Verdana"/>
          <w:color w:val="444444"/>
          <w:sz w:val="18"/>
          <w:szCs w:val="18"/>
        </w:rPr>
        <w:t> IRA dat onder Code sectie 408A valt</w:t>
      </w:r>
    </w:p>
    <w:p w:rsidR="00044FEC" w:rsidRDefault="00044FEC" w:rsidP="00044FEC">
      <w:pPr>
        <w:shd w:val="clear" w:color="auto" w:fill="FFFFFF"/>
        <w:spacing w:before="100" w:beforeAutospacing="1" w:after="100" w:afterAutospacing="1"/>
        <w:ind w:left="720" w:hanging="360"/>
        <w:jc w:val="both"/>
        <w:rPr>
          <w:rFonts w:ascii="Titillium Web" w:hAnsi="Titillium Web"/>
          <w:color w:val="444444"/>
          <w:sz w:val="20"/>
          <w:szCs w:val="20"/>
        </w:rPr>
      </w:pPr>
      <w:r>
        <w:rPr>
          <w:rStyle w:val="grame"/>
          <w:rFonts w:ascii="Verdana" w:hAnsi="Verdana"/>
          <w:color w:val="444444"/>
          <w:sz w:val="18"/>
          <w:szCs w:val="18"/>
        </w:rPr>
        <w:t>c</w:t>
      </w:r>
      <w:r>
        <w:rPr>
          <w:rFonts w:ascii="Verdana" w:hAnsi="Verdana"/>
          <w:color w:val="444444"/>
          <w:sz w:val="18"/>
          <w:szCs w:val="18"/>
        </w:rPr>
        <w:t>)</w:t>
      </w:r>
      <w:r>
        <w:rPr>
          <w:rFonts w:ascii="Titillium Web" w:hAnsi="Titillium Web"/>
          <w:color w:val="444444"/>
          <w:sz w:val="14"/>
          <w:szCs w:val="14"/>
        </w:rPr>
        <w:t>       </w:t>
      </w:r>
      <w:r>
        <w:rPr>
          <w:rFonts w:ascii="Verdana" w:hAnsi="Verdana"/>
          <w:color w:val="444444"/>
          <w:sz w:val="18"/>
          <w:szCs w:val="18"/>
        </w:rPr>
        <w:t>een Code sectie 403(a) gekwalificeerd lijfrenteplan</w:t>
      </w:r>
    </w:p>
    <w:p w:rsidR="00044FEC" w:rsidRDefault="00044FEC" w:rsidP="00044FEC">
      <w:pPr>
        <w:shd w:val="clear" w:color="auto" w:fill="FFFFFF"/>
        <w:spacing w:before="100" w:beforeAutospacing="1" w:after="100" w:afterAutospacing="1"/>
        <w:ind w:left="720" w:hanging="360"/>
        <w:jc w:val="both"/>
        <w:rPr>
          <w:rFonts w:ascii="Titillium Web" w:hAnsi="Titillium Web"/>
          <w:color w:val="444444"/>
          <w:sz w:val="20"/>
          <w:szCs w:val="20"/>
        </w:rPr>
      </w:pPr>
      <w:r>
        <w:rPr>
          <w:rStyle w:val="grame"/>
          <w:rFonts w:ascii="Verdana" w:hAnsi="Verdana"/>
          <w:color w:val="444444"/>
          <w:sz w:val="18"/>
          <w:szCs w:val="18"/>
        </w:rPr>
        <w:t>d</w:t>
      </w:r>
      <w:r>
        <w:rPr>
          <w:rFonts w:ascii="Verdana" w:hAnsi="Verdana"/>
          <w:color w:val="444444"/>
          <w:sz w:val="18"/>
          <w:szCs w:val="18"/>
        </w:rPr>
        <w:t>)</w:t>
      </w:r>
      <w:r>
        <w:rPr>
          <w:rFonts w:ascii="Titillium Web" w:hAnsi="Titillium Web"/>
          <w:color w:val="444444"/>
          <w:sz w:val="14"/>
          <w:szCs w:val="14"/>
        </w:rPr>
        <w:t>      </w:t>
      </w:r>
      <w:r>
        <w:rPr>
          <w:rFonts w:ascii="Verdana" w:hAnsi="Verdana"/>
          <w:color w:val="444444"/>
          <w:sz w:val="18"/>
          <w:szCs w:val="18"/>
        </w:rPr>
        <w:t>een Code sectie 403 (b) plan</w:t>
      </w:r>
    </w:p>
    <w:p w:rsidR="00044FEC" w:rsidRDefault="00044FEC" w:rsidP="00044FEC">
      <w:pPr>
        <w:shd w:val="clear" w:color="auto" w:fill="FFFFFF"/>
        <w:spacing w:before="100" w:beforeAutospacing="1" w:after="100" w:afterAutospacing="1"/>
        <w:ind w:left="720" w:hanging="360"/>
        <w:jc w:val="both"/>
        <w:rPr>
          <w:rFonts w:ascii="Titillium Web" w:hAnsi="Titillium Web"/>
          <w:color w:val="444444"/>
          <w:sz w:val="20"/>
          <w:szCs w:val="20"/>
        </w:rPr>
      </w:pPr>
      <w:r>
        <w:rPr>
          <w:rStyle w:val="grame"/>
          <w:rFonts w:ascii="Verdana" w:hAnsi="Verdana"/>
          <w:color w:val="444444"/>
          <w:sz w:val="18"/>
          <w:szCs w:val="18"/>
        </w:rPr>
        <w:t>e</w:t>
      </w:r>
      <w:r>
        <w:rPr>
          <w:rFonts w:ascii="Verdana" w:hAnsi="Verdana"/>
          <w:color w:val="444444"/>
          <w:sz w:val="18"/>
          <w:szCs w:val="18"/>
        </w:rPr>
        <w:t>)</w:t>
      </w:r>
      <w:r>
        <w:rPr>
          <w:rFonts w:ascii="Titillium Web" w:hAnsi="Titillium Web"/>
          <w:color w:val="444444"/>
          <w:sz w:val="14"/>
          <w:szCs w:val="14"/>
        </w:rPr>
        <w:t>      </w:t>
      </w:r>
      <w:r>
        <w:rPr>
          <w:rFonts w:ascii="Verdana" w:hAnsi="Verdana"/>
          <w:color w:val="444444"/>
          <w:sz w:val="18"/>
          <w:szCs w:val="18"/>
        </w:rPr>
        <w:t>een Code sectie 457 (b) plan, en</w:t>
      </w:r>
    </w:p>
    <w:p w:rsidR="00044FEC" w:rsidRDefault="00044FEC" w:rsidP="00044FEC">
      <w:pPr>
        <w:shd w:val="clear" w:color="auto" w:fill="FFFFFF"/>
        <w:spacing w:before="100" w:beforeAutospacing="1" w:after="100" w:afterAutospacing="1"/>
        <w:ind w:left="720" w:hanging="360"/>
        <w:jc w:val="both"/>
        <w:rPr>
          <w:rFonts w:ascii="Titillium Web" w:hAnsi="Titillium Web"/>
          <w:color w:val="444444"/>
          <w:sz w:val="20"/>
          <w:szCs w:val="20"/>
        </w:rPr>
      </w:pPr>
      <w:r>
        <w:rPr>
          <w:rStyle w:val="grame"/>
          <w:rFonts w:ascii="Verdana" w:hAnsi="Verdana"/>
          <w:color w:val="444444"/>
          <w:sz w:val="18"/>
          <w:szCs w:val="18"/>
        </w:rPr>
        <w:t>f</w:t>
      </w:r>
      <w:r>
        <w:rPr>
          <w:rFonts w:ascii="Verdana" w:hAnsi="Verdana"/>
          <w:color w:val="444444"/>
          <w:sz w:val="18"/>
          <w:szCs w:val="18"/>
        </w:rPr>
        <w:t>)</w:t>
      </w:r>
      <w:r>
        <w:rPr>
          <w:rFonts w:ascii="Titillium Web" w:hAnsi="Titillium Web"/>
          <w:color w:val="444444"/>
          <w:sz w:val="14"/>
          <w:szCs w:val="14"/>
        </w:rPr>
        <w:t>        </w:t>
      </w:r>
      <w:r>
        <w:rPr>
          <w:rFonts w:ascii="Verdana" w:hAnsi="Verdana"/>
          <w:color w:val="444444"/>
          <w:sz w:val="18"/>
          <w:szCs w:val="18"/>
        </w:rPr>
        <w:t>het </w:t>
      </w:r>
      <w:proofErr w:type="spellStart"/>
      <w:r>
        <w:rPr>
          <w:rStyle w:val="spelle"/>
          <w:rFonts w:ascii="Verdana" w:hAnsi="Verdana"/>
          <w:color w:val="444444"/>
          <w:sz w:val="18"/>
          <w:szCs w:val="18"/>
        </w:rPr>
        <w:t>Thrift</w:t>
      </w:r>
      <w:proofErr w:type="spellEnd"/>
      <w:r>
        <w:rPr>
          <w:rFonts w:ascii="Verdana" w:hAnsi="Verdana"/>
          <w:color w:val="444444"/>
          <w:sz w:val="18"/>
          <w:szCs w:val="18"/>
        </w:rPr>
        <w:t> </w:t>
      </w:r>
      <w:proofErr w:type="spellStart"/>
      <w:r>
        <w:rPr>
          <w:rStyle w:val="spelle"/>
          <w:rFonts w:ascii="Verdana" w:hAnsi="Verdana"/>
          <w:color w:val="444444"/>
          <w:sz w:val="18"/>
          <w:szCs w:val="18"/>
        </w:rPr>
        <w:t>Savings</w:t>
      </w:r>
      <w:proofErr w:type="spellEnd"/>
      <w:r>
        <w:rPr>
          <w:rFonts w:ascii="Verdana" w:hAnsi="Verdana"/>
          <w:color w:val="444444"/>
          <w:sz w:val="18"/>
          <w:szCs w:val="18"/>
        </w:rPr>
        <w:t> Plan (Code Sectie 7701 (j))</w:t>
      </w:r>
    </w:p>
    <w:p w:rsidR="00044FEC" w:rsidRDefault="00044FEC" w:rsidP="00044FEC">
      <w:pPr>
        <w:shd w:val="clear" w:color="auto" w:fill="FFFFFF"/>
        <w:spacing w:before="100" w:beforeAutospacing="1" w:after="100" w:afterAutospacing="1"/>
        <w:ind w:left="360"/>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De bovenvermelde lijst is niet limitatief. Elk Amerikaans of Belgisch pensioenplan dat hierboven niet vermeld werd, inclusief elk plan dat opgericht werd volgens een wetgeving die pas in werking treedt na de datum van de ondertekening van deze overeenkomst, of elke deelnemer van een plan dat niet voorkomt in bovenstaande lijst, kan aan de bevoegde autoriteit van de andere overeenkomstsluitende staat vragen of een plan overeenstemt met een pensioenplan dat erkend wordt voor belastingdoeleinden in de andere staat.</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Overeengekomen door de ondertekenende bevoegde autoriteiten op</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lastRenderedPageBreak/>
        <w:t> </w:t>
      </w:r>
    </w:p>
    <w:p w:rsidR="00044FEC" w:rsidRDefault="00044FEC" w:rsidP="00044FEC">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t>
      </w:r>
    </w:p>
    <w:p w:rsidR="00044FEC" w:rsidRPr="00044FEC" w:rsidRDefault="00044FEC" w:rsidP="00044FEC">
      <w:pPr>
        <w:shd w:val="clear" w:color="auto" w:fill="FFFFFF"/>
        <w:spacing w:before="100" w:beforeAutospacing="1" w:after="100" w:afterAutospacing="1"/>
        <w:jc w:val="both"/>
        <w:rPr>
          <w:rFonts w:ascii="Titillium Web" w:hAnsi="Titillium Web"/>
          <w:color w:val="444444"/>
          <w:sz w:val="20"/>
          <w:szCs w:val="20"/>
          <w:lang w:val="en-GB"/>
        </w:rPr>
      </w:pPr>
      <w:r w:rsidRPr="00044FEC">
        <w:rPr>
          <w:rFonts w:ascii="Verdana" w:hAnsi="Verdana"/>
          <w:color w:val="444444"/>
          <w:sz w:val="18"/>
          <w:szCs w:val="18"/>
          <w:lang w:val="en-GB"/>
        </w:rPr>
        <w:t xml:space="preserve">Douglas O’Donnell                                                                 </w:t>
      </w:r>
      <w:proofErr w:type="spellStart"/>
      <w:r w:rsidRPr="00044FEC">
        <w:rPr>
          <w:rFonts w:ascii="Verdana" w:hAnsi="Verdana"/>
          <w:color w:val="444444"/>
          <w:sz w:val="18"/>
          <w:szCs w:val="18"/>
          <w:lang w:val="en-GB"/>
        </w:rPr>
        <w:t>Sandra</w:t>
      </w:r>
      <w:r w:rsidRPr="00044FEC">
        <w:rPr>
          <w:rStyle w:val="spelle"/>
          <w:rFonts w:ascii="Verdana" w:hAnsi="Verdana"/>
          <w:color w:val="444444"/>
          <w:sz w:val="18"/>
          <w:szCs w:val="18"/>
          <w:lang w:val="en-GB"/>
        </w:rPr>
        <w:t>Knaepen</w:t>
      </w:r>
      <w:proofErr w:type="spellEnd"/>
    </w:p>
    <w:p w:rsidR="00044FEC" w:rsidRPr="00044FEC" w:rsidRDefault="00044FEC" w:rsidP="00044FEC">
      <w:pPr>
        <w:shd w:val="clear" w:color="auto" w:fill="FFFFFF"/>
        <w:spacing w:before="100" w:beforeAutospacing="1" w:after="100" w:afterAutospacing="1"/>
        <w:jc w:val="both"/>
        <w:rPr>
          <w:rFonts w:ascii="Titillium Web" w:hAnsi="Titillium Web"/>
          <w:color w:val="444444"/>
          <w:sz w:val="20"/>
          <w:szCs w:val="20"/>
          <w:lang w:val="en-GB"/>
        </w:rPr>
      </w:pPr>
      <w:r w:rsidRPr="00044FEC">
        <w:rPr>
          <w:rFonts w:ascii="Verdana" w:hAnsi="Verdana"/>
          <w:color w:val="444444"/>
          <w:sz w:val="18"/>
          <w:szCs w:val="18"/>
          <w:lang w:val="en-GB"/>
        </w:rPr>
        <w:t>US Competent Authority                                                        Belgian Competent Authority</w:t>
      </w:r>
    </w:p>
    <w:p w:rsidR="0006612D" w:rsidRPr="00044FEC" w:rsidRDefault="0006612D" w:rsidP="00044FEC">
      <w:pPr>
        <w:rPr>
          <w:lang w:val="en-GB"/>
        </w:rPr>
      </w:pPr>
      <w:bookmarkStart w:id="0" w:name="_GoBack"/>
      <w:bookmarkEnd w:id="0"/>
    </w:p>
    <w:sectPr w:rsidR="0006612D" w:rsidRPr="00044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85A37"/>
    <w:multiLevelType w:val="multilevel"/>
    <w:tmpl w:val="818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12EA7"/>
    <w:multiLevelType w:val="multilevel"/>
    <w:tmpl w:val="DCC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71B76"/>
    <w:multiLevelType w:val="multilevel"/>
    <w:tmpl w:val="4DA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4"/>
  </w:num>
  <w:num w:numId="4">
    <w:abstractNumId w:val="36"/>
  </w:num>
  <w:num w:numId="5">
    <w:abstractNumId w:val="5"/>
  </w:num>
  <w:num w:numId="6">
    <w:abstractNumId w:val="8"/>
  </w:num>
  <w:num w:numId="7">
    <w:abstractNumId w:val="37"/>
  </w:num>
  <w:num w:numId="8">
    <w:abstractNumId w:val="31"/>
  </w:num>
  <w:num w:numId="9">
    <w:abstractNumId w:val="15"/>
  </w:num>
  <w:num w:numId="10">
    <w:abstractNumId w:val="10"/>
  </w:num>
  <w:num w:numId="11">
    <w:abstractNumId w:val="35"/>
  </w:num>
  <w:num w:numId="12">
    <w:abstractNumId w:val="20"/>
  </w:num>
  <w:num w:numId="13">
    <w:abstractNumId w:val="38"/>
  </w:num>
  <w:num w:numId="14">
    <w:abstractNumId w:val="25"/>
  </w:num>
  <w:num w:numId="15">
    <w:abstractNumId w:val="19"/>
  </w:num>
  <w:num w:numId="16">
    <w:abstractNumId w:val="9"/>
  </w:num>
  <w:num w:numId="17">
    <w:abstractNumId w:val="3"/>
  </w:num>
  <w:num w:numId="18">
    <w:abstractNumId w:val="12"/>
  </w:num>
  <w:num w:numId="19">
    <w:abstractNumId w:val="34"/>
  </w:num>
  <w:num w:numId="20">
    <w:abstractNumId w:val="30"/>
  </w:num>
  <w:num w:numId="21">
    <w:abstractNumId w:val="2"/>
  </w:num>
  <w:num w:numId="22">
    <w:abstractNumId w:val="26"/>
  </w:num>
  <w:num w:numId="23">
    <w:abstractNumId w:val="24"/>
  </w:num>
  <w:num w:numId="24">
    <w:abstractNumId w:val="29"/>
  </w:num>
  <w:num w:numId="25">
    <w:abstractNumId w:val="33"/>
  </w:num>
  <w:num w:numId="26">
    <w:abstractNumId w:val="7"/>
  </w:num>
  <w:num w:numId="27">
    <w:abstractNumId w:val="13"/>
  </w:num>
  <w:num w:numId="28">
    <w:abstractNumId w:val="4"/>
  </w:num>
  <w:num w:numId="29">
    <w:abstractNumId w:val="16"/>
  </w:num>
  <w:num w:numId="30">
    <w:abstractNumId w:val="23"/>
  </w:num>
  <w:num w:numId="31">
    <w:abstractNumId w:val="32"/>
  </w:num>
  <w:num w:numId="32">
    <w:abstractNumId w:val="1"/>
  </w:num>
  <w:num w:numId="33">
    <w:abstractNumId w:val="11"/>
  </w:num>
  <w:num w:numId="34">
    <w:abstractNumId w:val="17"/>
  </w:num>
  <w:num w:numId="35">
    <w:abstractNumId w:val="18"/>
  </w:num>
  <w:num w:numId="36">
    <w:abstractNumId w:val="6"/>
  </w:num>
  <w:num w:numId="37">
    <w:abstractNumId w:val="21"/>
  </w:num>
  <w:num w:numId="38">
    <w:abstractNumId w:val="22"/>
  </w:num>
  <w:num w:numId="39">
    <w:abstractNumId w:val="39"/>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235A"/>
    <w:rsid w:val="00025704"/>
    <w:rsid w:val="00044FEC"/>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3C6710"/>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5F265E"/>
    <w:rsid w:val="0061753A"/>
    <w:rsid w:val="006206B0"/>
    <w:rsid w:val="00636460"/>
    <w:rsid w:val="0064181D"/>
    <w:rsid w:val="006451C8"/>
    <w:rsid w:val="006533C4"/>
    <w:rsid w:val="00687173"/>
    <w:rsid w:val="006A2EED"/>
    <w:rsid w:val="006C3A83"/>
    <w:rsid w:val="006D6E53"/>
    <w:rsid w:val="006F4797"/>
    <w:rsid w:val="0070085F"/>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97F92"/>
    <w:rsid w:val="00DB2407"/>
    <w:rsid w:val="00DC0842"/>
    <w:rsid w:val="00DE15CC"/>
    <w:rsid w:val="00DF1BC9"/>
    <w:rsid w:val="00DF4242"/>
    <w:rsid w:val="00DF658E"/>
    <w:rsid w:val="00E068F2"/>
    <w:rsid w:val="00E61CAD"/>
    <w:rsid w:val="00EB080A"/>
    <w:rsid w:val="00ED4BEC"/>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Voetnoottekst">
    <w:name w:val="footnote text"/>
    <w:basedOn w:val="Standaard"/>
    <w:link w:val="VoetnoottekstChar"/>
    <w:uiPriority w:val="99"/>
    <w:semiHidden/>
    <w:unhideWhenUsed/>
    <w:rsid w:val="00D97F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oetnoottekstChar">
    <w:name w:val="Voetnoottekst Char"/>
    <w:basedOn w:val="Standaardalinea-lettertype"/>
    <w:link w:val="Voetnoottekst"/>
    <w:uiPriority w:val="99"/>
    <w:semiHidden/>
    <w:rsid w:val="00D97F92"/>
    <w:rPr>
      <w:rFonts w:ascii="Times New Roman" w:eastAsia="Times New Roman" w:hAnsi="Times New Roman" w:cs="Times New Roman"/>
      <w:sz w:val="24"/>
      <w:szCs w:val="24"/>
      <w:lang w:val="en-GB" w:eastAsia="en-GB"/>
    </w:rPr>
  </w:style>
  <w:style w:type="character" w:customStyle="1" w:styleId="grame">
    <w:name w:val="grame"/>
    <w:basedOn w:val="Standaardalinea-lettertype"/>
    <w:rsid w:val="00044FEC"/>
  </w:style>
  <w:style w:type="character" w:customStyle="1" w:styleId="spelle">
    <w:name w:val="spelle"/>
    <w:basedOn w:val="Standaardalinea-lettertype"/>
    <w:rsid w:val="0004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02851337">
      <w:bodyDiv w:val="1"/>
      <w:marLeft w:val="0"/>
      <w:marRight w:val="0"/>
      <w:marTop w:val="0"/>
      <w:marBottom w:val="0"/>
      <w:divBdr>
        <w:top w:val="none" w:sz="0" w:space="0" w:color="auto"/>
        <w:left w:val="none" w:sz="0" w:space="0" w:color="auto"/>
        <w:bottom w:val="none" w:sz="0" w:space="0" w:color="auto"/>
        <w:right w:val="none" w:sz="0" w:space="0" w:color="auto"/>
      </w:divBdr>
      <w:divsChild>
        <w:div w:id="137840879">
          <w:marLeft w:val="0"/>
          <w:marRight w:val="0"/>
          <w:marTop w:val="0"/>
          <w:marBottom w:val="0"/>
          <w:divBdr>
            <w:top w:val="none" w:sz="0" w:space="0" w:color="auto"/>
            <w:left w:val="none" w:sz="0" w:space="0" w:color="auto"/>
            <w:bottom w:val="none" w:sz="0" w:space="0" w:color="auto"/>
            <w:right w:val="none" w:sz="0" w:space="0" w:color="auto"/>
          </w:divBdr>
          <w:divsChild>
            <w:div w:id="18596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115">
      <w:bodyDiv w:val="1"/>
      <w:marLeft w:val="0"/>
      <w:marRight w:val="0"/>
      <w:marTop w:val="0"/>
      <w:marBottom w:val="0"/>
      <w:divBdr>
        <w:top w:val="none" w:sz="0" w:space="0" w:color="auto"/>
        <w:left w:val="none" w:sz="0" w:space="0" w:color="auto"/>
        <w:bottom w:val="none" w:sz="0" w:space="0" w:color="auto"/>
        <w:right w:val="none" w:sz="0" w:space="0" w:color="auto"/>
      </w:divBdr>
      <w:divsChild>
        <w:div w:id="39316381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77761183">
      <w:bodyDiv w:val="1"/>
      <w:marLeft w:val="0"/>
      <w:marRight w:val="0"/>
      <w:marTop w:val="0"/>
      <w:marBottom w:val="0"/>
      <w:divBdr>
        <w:top w:val="none" w:sz="0" w:space="0" w:color="auto"/>
        <w:left w:val="none" w:sz="0" w:space="0" w:color="auto"/>
        <w:bottom w:val="none" w:sz="0" w:space="0" w:color="auto"/>
        <w:right w:val="none" w:sz="0" w:space="0" w:color="auto"/>
      </w:divBdr>
      <w:divsChild>
        <w:div w:id="896282465">
          <w:marLeft w:val="0"/>
          <w:marRight w:val="0"/>
          <w:marTop w:val="0"/>
          <w:marBottom w:val="0"/>
          <w:divBdr>
            <w:top w:val="none" w:sz="0" w:space="0" w:color="auto"/>
            <w:left w:val="none" w:sz="0" w:space="0" w:color="auto"/>
            <w:bottom w:val="none" w:sz="0" w:space="0" w:color="auto"/>
            <w:right w:val="none" w:sz="0" w:space="0" w:color="auto"/>
          </w:divBdr>
          <w:divsChild>
            <w:div w:id="56317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14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2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sChild>
        <w:div w:id="165414491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63316160">
      <w:bodyDiv w:val="1"/>
      <w:marLeft w:val="0"/>
      <w:marRight w:val="0"/>
      <w:marTop w:val="0"/>
      <w:marBottom w:val="0"/>
      <w:divBdr>
        <w:top w:val="none" w:sz="0" w:space="0" w:color="auto"/>
        <w:left w:val="none" w:sz="0" w:space="0" w:color="auto"/>
        <w:bottom w:val="none" w:sz="0" w:space="0" w:color="auto"/>
        <w:right w:val="none" w:sz="0" w:space="0" w:color="auto"/>
      </w:divBdr>
      <w:divsChild>
        <w:div w:id="69481595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3108392">
      <w:bodyDiv w:val="1"/>
      <w:marLeft w:val="0"/>
      <w:marRight w:val="0"/>
      <w:marTop w:val="0"/>
      <w:marBottom w:val="0"/>
      <w:divBdr>
        <w:top w:val="none" w:sz="0" w:space="0" w:color="auto"/>
        <w:left w:val="none" w:sz="0" w:space="0" w:color="auto"/>
        <w:bottom w:val="none" w:sz="0" w:space="0" w:color="auto"/>
        <w:right w:val="none" w:sz="0" w:space="0" w:color="auto"/>
      </w:divBdr>
      <w:divsChild>
        <w:div w:id="258106818">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91073412">
      <w:bodyDiv w:val="1"/>
      <w:marLeft w:val="0"/>
      <w:marRight w:val="0"/>
      <w:marTop w:val="0"/>
      <w:marBottom w:val="0"/>
      <w:divBdr>
        <w:top w:val="none" w:sz="0" w:space="0" w:color="auto"/>
        <w:left w:val="none" w:sz="0" w:space="0" w:color="auto"/>
        <w:bottom w:val="none" w:sz="0" w:space="0" w:color="auto"/>
        <w:right w:val="none" w:sz="0" w:space="0" w:color="auto"/>
      </w:divBdr>
      <w:divsChild>
        <w:div w:id="1665162182">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2019-05-23T16:47:00Z</dcterms:created>
  <dcterms:modified xsi:type="dcterms:W3CDTF">2019-05-23T16:47:00Z</dcterms:modified>
</cp:coreProperties>
</file>