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9D8" w:rsidRPr="00D409D8" w:rsidRDefault="00D409D8" w:rsidP="00D409D8">
      <w:pPr>
        <w:pStyle w:val="Kop1"/>
        <w:shd w:val="clear" w:color="auto" w:fill="FFFFFF"/>
        <w:rPr>
          <w:rFonts w:ascii="Verdana" w:hAnsi="Verdana"/>
          <w:b w:val="0"/>
          <w:bCs w:val="0"/>
          <w:color w:val="777777"/>
          <w:sz w:val="55"/>
          <w:szCs w:val="55"/>
          <w:lang w:val="nl-BE"/>
        </w:rPr>
      </w:pPr>
      <w:r w:rsidRPr="00D409D8">
        <w:rPr>
          <w:rFonts w:ascii="Verdana" w:hAnsi="Verdana"/>
          <w:b w:val="0"/>
          <w:bCs w:val="0"/>
          <w:color w:val="777777"/>
          <w:sz w:val="55"/>
          <w:szCs w:val="55"/>
          <w:lang w:val="nl-BE"/>
        </w:rPr>
        <w:t>Noorwegen (Protocol van 10.09.2009)</w:t>
      </w:r>
    </w:p>
    <w:p w:rsidR="00D409D8" w:rsidRDefault="00D409D8" w:rsidP="00D409D8">
      <w:pPr>
        <w:rPr>
          <w:rFonts w:ascii="Times New Roman" w:hAnsi="Times New Roman"/>
          <w:sz w:val="24"/>
          <w:szCs w:val="24"/>
        </w:rPr>
      </w:pPr>
      <w:r>
        <w:rPr>
          <w:rFonts w:ascii="Verdana" w:hAnsi="Verdana"/>
          <w:color w:val="444444"/>
          <w:sz w:val="20"/>
          <w:szCs w:val="20"/>
        </w:rPr>
        <w:br/>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Style w:val="Zwaar"/>
          <w:rFonts w:ascii="Verdana" w:hAnsi="Verdana"/>
          <w:color w:val="444444"/>
          <w:sz w:val="20"/>
          <w:szCs w:val="20"/>
          <w:lang w:val="nl-BE"/>
        </w:rPr>
        <w:t>Noorwegen (Protocol van 10.09.2009)</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Style w:val="Nadruk"/>
          <w:rFonts w:ascii="Verdana" w:hAnsi="Verdana"/>
          <w:b/>
          <w:bCs/>
          <w:color w:val="444444"/>
          <w:sz w:val="20"/>
          <w:szCs w:val="20"/>
          <w:lang w:val="nl-BE"/>
        </w:rPr>
        <w:t>Protocol tot wijziging van de overeenkomst tussen het Koninkrijk België en het Koninkrijk Noorwegen tot het vermijden van dubbele belasting en tot het voorkomen van het ontgaan van belasting inzake belastingen naar het inkomen en naar het vermogen, ondertekend te Oslo op 14 april 1988</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Style w:val="Zwaa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D409D8" w:rsidTr="00D409D8">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D409D8" w:rsidRPr="00D409D8" w:rsidRDefault="00D409D8">
            <w:pPr>
              <w:pStyle w:val="Normaalweb"/>
              <w:rPr>
                <w:lang w:val="nl-BE"/>
              </w:rPr>
            </w:pPr>
            <w:r w:rsidRPr="00D409D8">
              <w:rPr>
                <w:rStyle w:val="Zwaar"/>
                <w:lang w:val="nl-BE"/>
              </w:rPr>
              <w:t>Protocol</w:t>
            </w:r>
            <w:r w:rsidRPr="00D409D8">
              <w:rPr>
                <w:lang w:val="nl-BE"/>
              </w:rPr>
              <w:t> ondertekend op 10.09.2009</w:t>
            </w:r>
          </w:p>
          <w:p w:rsidR="00D409D8" w:rsidRPr="00D409D8" w:rsidRDefault="00D409D8">
            <w:pPr>
              <w:pStyle w:val="Normaalweb"/>
              <w:rPr>
                <w:lang w:val="nl-BE"/>
              </w:rPr>
            </w:pPr>
            <w:r w:rsidRPr="00D409D8">
              <w:rPr>
                <w:lang w:val="nl-BE"/>
              </w:rPr>
              <w:t>Goedkeuringswet: 19.08.2011</w:t>
            </w:r>
          </w:p>
          <w:p w:rsidR="00D409D8" w:rsidRPr="00D409D8" w:rsidRDefault="00D409D8">
            <w:pPr>
              <w:pStyle w:val="Normaalweb"/>
              <w:rPr>
                <w:lang w:val="nl-BE"/>
              </w:rPr>
            </w:pPr>
            <w:r w:rsidRPr="00D409D8">
              <w:rPr>
                <w:lang w:val="nl-BE"/>
              </w:rPr>
              <w:t>Verschenen in Belgisch Staatsblad: /</w:t>
            </w:r>
          </w:p>
          <w:p w:rsidR="00D409D8" w:rsidRPr="00D409D8" w:rsidRDefault="00D409D8">
            <w:pPr>
              <w:pStyle w:val="Normaalweb"/>
              <w:rPr>
                <w:lang w:val="nl-BE"/>
              </w:rPr>
            </w:pPr>
            <w:r w:rsidRPr="00D409D8">
              <w:rPr>
                <w:lang w:val="nl-BE"/>
              </w:rPr>
              <w:t>In werking getreden op 19.07.2013</w:t>
            </w:r>
          </w:p>
          <w:p w:rsidR="00D409D8" w:rsidRPr="00D409D8" w:rsidRDefault="00D409D8">
            <w:pPr>
              <w:pStyle w:val="Normaalweb"/>
              <w:rPr>
                <w:lang w:val="nl-BE"/>
              </w:rPr>
            </w:pPr>
            <w:r w:rsidRPr="00D409D8">
              <w:rPr>
                <w:lang w:val="nl-BE"/>
              </w:rPr>
              <w:t> </w:t>
            </w:r>
          </w:p>
          <w:p w:rsidR="00D409D8" w:rsidRPr="00D409D8" w:rsidRDefault="00D409D8">
            <w:pPr>
              <w:pStyle w:val="Normaalweb"/>
              <w:rPr>
                <w:lang w:val="nl-BE"/>
              </w:rPr>
            </w:pPr>
            <w:r w:rsidRPr="00D409D8">
              <w:rPr>
                <w:rStyle w:val="Zwaar"/>
                <w:u w:val="single"/>
                <w:lang w:val="nl-BE"/>
              </w:rPr>
              <w:t>Toepassing vanaf</w:t>
            </w:r>
            <w:r w:rsidRPr="00D409D8">
              <w:rPr>
                <w:u w:val="single"/>
                <w:lang w:val="nl-BE"/>
              </w:rPr>
              <w:t>:</w:t>
            </w:r>
          </w:p>
          <w:p w:rsidR="00D409D8" w:rsidRPr="00D409D8" w:rsidRDefault="00D409D8">
            <w:pPr>
              <w:pStyle w:val="Normaalweb"/>
              <w:rPr>
                <w:lang w:val="nl-BE"/>
              </w:rPr>
            </w:pPr>
            <w:r w:rsidRPr="00D409D8">
              <w:rPr>
                <w:lang w:val="nl-BE"/>
              </w:rPr>
              <w:t>- Bronbelasting: 01.01.2014</w:t>
            </w:r>
          </w:p>
          <w:p w:rsidR="00D409D8" w:rsidRPr="00D409D8" w:rsidRDefault="00D409D8">
            <w:pPr>
              <w:pStyle w:val="Normaalweb"/>
              <w:rPr>
                <w:lang w:val="nl-BE"/>
              </w:rPr>
            </w:pPr>
            <w:r w:rsidRPr="00D409D8">
              <w:rPr>
                <w:lang w:val="nl-BE"/>
              </w:rPr>
              <w:t>- Andere inkomstenbelastingen: belastbare tijdperken die beginnen op of na 01.01.2014</w:t>
            </w:r>
          </w:p>
          <w:p w:rsidR="00D409D8" w:rsidRDefault="00D409D8">
            <w:pPr>
              <w:pStyle w:val="Normaalweb"/>
            </w:pPr>
            <w:r>
              <w:t xml:space="preserve">- </w:t>
            </w:r>
            <w:proofErr w:type="spellStart"/>
            <w:r>
              <w:t>Andere</w:t>
            </w:r>
            <w:proofErr w:type="spellEnd"/>
            <w:r>
              <w:t xml:space="preserve"> </w:t>
            </w:r>
            <w:proofErr w:type="spellStart"/>
            <w:r>
              <w:t>belastingen</w:t>
            </w:r>
            <w:proofErr w:type="spellEnd"/>
            <w:r>
              <w:t>: 01.01.2014</w:t>
            </w:r>
          </w:p>
          <w:p w:rsidR="00D409D8" w:rsidRDefault="00D409D8">
            <w:pPr>
              <w:pStyle w:val="Normaalweb"/>
            </w:pPr>
            <w:r>
              <w:t> </w:t>
            </w:r>
          </w:p>
        </w:tc>
      </w:tr>
    </w:tbl>
    <w:p w:rsidR="00D409D8" w:rsidRDefault="00D409D8" w:rsidP="00D409D8">
      <w:pPr>
        <w:pStyle w:val="Normaalweb"/>
        <w:shd w:val="clear" w:color="auto" w:fill="FFFFFF"/>
        <w:rPr>
          <w:rFonts w:ascii="Verdana" w:hAnsi="Verdana"/>
          <w:color w:val="444444"/>
          <w:sz w:val="20"/>
          <w:szCs w:val="20"/>
        </w:rPr>
      </w:pPr>
      <w:r>
        <w:rPr>
          <w:rFonts w:ascii="Verdana" w:hAnsi="Verdana"/>
          <w:color w:val="444444"/>
          <w:sz w:val="20"/>
          <w:szCs w:val="20"/>
        </w:rPr>
        <w:t>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Style w:val="Zwaar"/>
          <w:rFonts w:ascii="Verdana" w:hAnsi="Verdana"/>
          <w:color w:val="444444"/>
          <w:sz w:val="20"/>
          <w:szCs w:val="20"/>
          <w:lang w:val="nl-BE"/>
        </w:rPr>
        <w:t>DE REGERING VAN HET KONINKRIJK BELGIE EN</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Style w:val="Zwaar"/>
          <w:rFonts w:ascii="Verdana" w:hAnsi="Verdana"/>
          <w:color w:val="444444"/>
          <w:sz w:val="20"/>
          <w:szCs w:val="20"/>
          <w:lang w:val="nl-BE"/>
        </w:rPr>
        <w:t>DE REGERING VAN HET KONINKRIJK NOORWEGEN,</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Style w:val="Zwaar"/>
          <w:rFonts w:ascii="Verdana" w:hAnsi="Verdana"/>
          <w:color w:val="444444"/>
          <w:sz w:val="20"/>
          <w:szCs w:val="20"/>
          <w:lang w:val="nl-BE"/>
        </w:rPr>
        <w:t>WENSENDE</w:t>
      </w:r>
      <w:r w:rsidRPr="00D409D8">
        <w:rPr>
          <w:rFonts w:ascii="Verdana" w:hAnsi="Verdana"/>
          <w:color w:val="444444"/>
          <w:sz w:val="20"/>
          <w:szCs w:val="20"/>
          <w:lang w:val="nl-BE"/>
        </w:rPr>
        <w:t> de Overeenkomst te wijzigen tussen het Koninkrijk België en het Koninkrijk Noorwegen tot het vermijden van dubbele belasting en tot het voorkomen van het ontgaan van belasting inzake belastingen naar het inkomen en naar het vermogen, ondertekend te Oslo op 14 april 1988 (hierna te noemen "de Overeenkomst"),</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Style w:val="Zwaar"/>
          <w:rFonts w:ascii="Verdana" w:hAnsi="Verdana"/>
          <w:color w:val="444444"/>
          <w:sz w:val="20"/>
          <w:szCs w:val="20"/>
          <w:lang w:val="nl-BE"/>
        </w:rPr>
        <w:t>ZIJN HET VOLGENDE OVEREENGEKOMEN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Style w:val="Zwaar"/>
          <w:rFonts w:ascii="Verdana" w:hAnsi="Verdana"/>
          <w:color w:val="444444"/>
          <w:sz w:val="20"/>
          <w:szCs w:val="20"/>
          <w:lang w:val="nl-BE"/>
        </w:rPr>
        <w:t> </w:t>
      </w:r>
    </w:p>
    <w:p w:rsidR="00D409D8" w:rsidRPr="00D409D8" w:rsidRDefault="00D409D8" w:rsidP="00D409D8">
      <w:pPr>
        <w:pStyle w:val="Normaalweb"/>
        <w:shd w:val="clear" w:color="auto" w:fill="FFFFFF"/>
        <w:jc w:val="center"/>
        <w:rPr>
          <w:rFonts w:ascii="Verdana" w:hAnsi="Verdana"/>
          <w:color w:val="444444"/>
          <w:sz w:val="20"/>
          <w:szCs w:val="20"/>
          <w:lang w:val="nl-BE"/>
        </w:rPr>
      </w:pPr>
      <w:r w:rsidRPr="00D409D8">
        <w:rPr>
          <w:rStyle w:val="Zwaar"/>
          <w:rFonts w:ascii="Verdana" w:hAnsi="Verdana"/>
          <w:color w:val="444444"/>
          <w:sz w:val="20"/>
          <w:szCs w:val="20"/>
          <w:lang w:val="nl-BE"/>
        </w:rPr>
        <w:lastRenderedPageBreak/>
        <w:t>ARTIKEL I</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Style w:val="Zwaar"/>
          <w:rFonts w:ascii="Verdana" w:hAnsi="Verdana"/>
          <w:color w:val="444444"/>
          <w:sz w:val="20"/>
          <w:szCs w:val="20"/>
          <w:lang w:val="nl-BE"/>
        </w:rPr>
        <w:t>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De tekst van artikel 27 van de Overeenkomst wordt vervangen door de volgende tekst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 voorafgaande, mogen de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3. In geen geval mogen de bepalingen van de paragrafen 1 en 2 aldus worden uitgelegd dat zij een overeenkomstsluitende Staat de verplichting opleggen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(a) administratieve maatregelen te nemen die afwijken van de wetgeving en de administratieve praktijk van die of van de andere overeenkomstsluitende Staat;</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 xml:space="preserve">4. Wanneer op basis van de bepalingen van dit artikel door een overeenkomstsluitende Staat om inlichtingen is verzocht, gebruikt de andere overeenkomstsluitende Staat de </w:t>
      </w:r>
      <w:r w:rsidRPr="00D409D8">
        <w:rPr>
          <w:rFonts w:ascii="Verdana" w:hAnsi="Verdana"/>
          <w:color w:val="444444"/>
          <w:sz w:val="20"/>
          <w:szCs w:val="20"/>
          <w:lang w:val="nl-BE"/>
        </w:rPr>
        <w:lastRenderedPageBreak/>
        <w:t>middelen waarover hij beschikt om de gevraagde inlichtingen te verkrijgen, zelfs al heeft die andere Staat die inlichtingen niet nodig voor zijn eigen belastingdoeleinden.</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vertrouwenspersoon of omdat de inlichtingen betrekking hebben op eigendomsbelangen in een persoon. Teneinde zulke inlichtingen te verkrijgen heeft de belastingadministratie van de aangezochte overeenkomstsluitende Staat de bevoegdheid om te vragen inlichtingen bekend te maken en om een onderzoek en verhoren in te stellen, niettegenstaande andersluidende bepalingen in de binnenlandse belastingwetgeving van die Staat."</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 </w:t>
      </w:r>
    </w:p>
    <w:p w:rsidR="00D409D8" w:rsidRPr="00D409D8" w:rsidRDefault="00D409D8" w:rsidP="00D409D8">
      <w:pPr>
        <w:pStyle w:val="Normaalweb"/>
        <w:shd w:val="clear" w:color="auto" w:fill="FFFFFF"/>
        <w:jc w:val="center"/>
        <w:rPr>
          <w:rFonts w:ascii="Verdana" w:hAnsi="Verdana"/>
          <w:color w:val="444444"/>
          <w:sz w:val="20"/>
          <w:szCs w:val="20"/>
          <w:lang w:val="nl-BE"/>
        </w:rPr>
      </w:pPr>
      <w:r w:rsidRPr="00D409D8">
        <w:rPr>
          <w:rStyle w:val="Zwaar"/>
          <w:rFonts w:ascii="Verdana" w:hAnsi="Verdana"/>
          <w:color w:val="444444"/>
          <w:sz w:val="20"/>
          <w:szCs w:val="20"/>
          <w:lang w:val="nl-BE"/>
        </w:rPr>
        <w:t>ARTIKEL II</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Style w:val="Zwaar"/>
          <w:rFonts w:ascii="Verdana" w:hAnsi="Verdana"/>
          <w:color w:val="444444"/>
          <w:sz w:val="20"/>
          <w:szCs w:val="20"/>
          <w:lang w:val="nl-BE"/>
        </w:rPr>
        <w:t>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Elk van de overeenkomstsluitende Staten stelt de andere overeenkomstsluitende Staat langs diplomatieke weg in kennis van de voltooiing van de procedures die door zijn wetgeving voor de</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inwerkingtreding van dit Protocol is vereist. Het Protocol zal in werking treden op de datum van de laatste van deze kennisgevingen en de bepalingen ervan zullen van toepassing zijn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a) met betrekking tot de bij de bron verschuldigde belastingen : op inkomsten die zijn toegekend of betaalbaar gesteld op of na 1 januari van het jaar dat onmiddellijk volgt op dat waarin het Protocol in werking is getreden;</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b) met betrekking tot andere belastingen geheven naar inkomsten van belastbare tijdperken die aanvangen op of na 1 januari van het jaar dat onmiddellijk volgt op dat waarin het Protocol in werking is getreden;</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c) met betrekking tot alle andere belastingen die worden geheven door of namens de overeenkomstsluitende Staten : op elke andere belasting die verschuldigd is ter zake van belastbare feiten die zich voordoen op of na 1 januari van het jaar dat onmiddellijk volgt op dat waarin het Protocol in werking is getreden.</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d) Artikel 27 van de op 14 april 1988 te Oslo ondertekende Overeenkomst blijft van toepassing voor de belastbare tijdperken die aan de uitwerking van dit Protocol voorafgaan.</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 </w:t>
      </w:r>
    </w:p>
    <w:p w:rsidR="00D409D8" w:rsidRPr="00D409D8" w:rsidRDefault="00D409D8" w:rsidP="00D409D8">
      <w:pPr>
        <w:pStyle w:val="Normaalweb"/>
        <w:shd w:val="clear" w:color="auto" w:fill="FFFFFF"/>
        <w:jc w:val="center"/>
        <w:rPr>
          <w:rFonts w:ascii="Verdana" w:hAnsi="Verdana"/>
          <w:color w:val="444444"/>
          <w:sz w:val="20"/>
          <w:szCs w:val="20"/>
          <w:lang w:val="nl-BE"/>
        </w:rPr>
      </w:pPr>
      <w:r w:rsidRPr="00D409D8">
        <w:rPr>
          <w:rStyle w:val="Zwaar"/>
          <w:rFonts w:ascii="Verdana" w:hAnsi="Verdana"/>
          <w:color w:val="444444"/>
          <w:sz w:val="20"/>
          <w:szCs w:val="20"/>
          <w:lang w:val="nl-BE"/>
        </w:rPr>
        <w:lastRenderedPageBreak/>
        <w:t>ARTIKEL III</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Dit Protocol, dat een integrerend deel van de Overeenkomst uitmaakt, zal van kracht blijven zolang de Overeenkomst van kracht blijft en zal van toepassing zijn zolang de Overeenkomst zelf van toepassing is.</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Style w:val="Zwaar"/>
          <w:rFonts w:ascii="Verdana" w:hAnsi="Verdana"/>
          <w:color w:val="444444"/>
          <w:sz w:val="20"/>
          <w:szCs w:val="20"/>
          <w:lang w:val="nl-BE"/>
        </w:rPr>
        <w:t>TEN BLIJKE WAARVAN</w:t>
      </w:r>
      <w:r w:rsidRPr="00D409D8">
        <w:rPr>
          <w:rFonts w:ascii="Verdana" w:hAnsi="Verdana"/>
          <w:color w:val="444444"/>
          <w:sz w:val="20"/>
          <w:szCs w:val="20"/>
          <w:lang w:val="nl-BE"/>
        </w:rPr>
        <w:t> de ondergetekenden, daartoe behoorlijk gevolmachtigd door hun respectieve Regeringen, dit Protocol hebben ondertekend.</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Style w:val="Zwaar"/>
          <w:rFonts w:ascii="Verdana" w:hAnsi="Verdana"/>
          <w:color w:val="444444"/>
          <w:sz w:val="20"/>
          <w:szCs w:val="20"/>
          <w:lang w:val="nl-BE"/>
        </w:rPr>
        <w:t>GEDAAN</w:t>
      </w:r>
      <w:r w:rsidRPr="00D409D8">
        <w:rPr>
          <w:rFonts w:ascii="Verdana" w:hAnsi="Verdana"/>
          <w:color w:val="444444"/>
          <w:sz w:val="20"/>
          <w:szCs w:val="20"/>
          <w:lang w:val="nl-BE"/>
        </w:rPr>
        <w:t> in tweevoud te Brussel, op 10 september 2009, in de Engelse taal.</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VOOR DE REGERING VAN</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HET KONINKRIJK BELGIE</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 </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VOOR DE REGERING VAN HET</w:t>
      </w:r>
    </w:p>
    <w:p w:rsidR="00D409D8" w:rsidRPr="00D409D8" w:rsidRDefault="00D409D8" w:rsidP="00D409D8">
      <w:pPr>
        <w:pStyle w:val="Normaalweb"/>
        <w:shd w:val="clear" w:color="auto" w:fill="FFFFFF"/>
        <w:rPr>
          <w:rFonts w:ascii="Verdana" w:hAnsi="Verdana"/>
          <w:color w:val="444444"/>
          <w:sz w:val="20"/>
          <w:szCs w:val="20"/>
          <w:lang w:val="nl-BE"/>
        </w:rPr>
      </w:pPr>
      <w:r w:rsidRPr="00D409D8">
        <w:rPr>
          <w:rFonts w:ascii="Verdana" w:hAnsi="Verdana"/>
          <w:color w:val="444444"/>
          <w:sz w:val="20"/>
          <w:szCs w:val="20"/>
          <w:lang w:val="nl-BE"/>
        </w:rPr>
        <w:t>KONINKRIJK NOORWEGEN</w:t>
      </w:r>
    </w:p>
    <w:p w:rsidR="00D409D8" w:rsidRDefault="00D409D8" w:rsidP="00D409D8">
      <w:pPr>
        <w:pStyle w:val="Normaalweb"/>
        <w:shd w:val="clear" w:color="auto" w:fill="FFFFFF"/>
        <w:rPr>
          <w:rFonts w:ascii="Verdana" w:hAnsi="Verdana"/>
          <w:color w:val="444444"/>
          <w:sz w:val="20"/>
          <w:szCs w:val="20"/>
        </w:rPr>
      </w:pPr>
      <w:r>
        <w:rPr>
          <w:rFonts w:ascii="Verdana" w:hAnsi="Verdana"/>
          <w:color w:val="444444"/>
          <w:sz w:val="20"/>
          <w:szCs w:val="20"/>
        </w:rPr>
        <w:t>…………………………………</w:t>
      </w:r>
    </w:p>
    <w:p w:rsidR="00B422A3" w:rsidRPr="00D409D8" w:rsidRDefault="00B422A3" w:rsidP="00D409D8">
      <w:bookmarkStart w:id="0" w:name="_GoBack"/>
      <w:bookmarkEnd w:id="0"/>
    </w:p>
    <w:sectPr w:rsidR="00B422A3" w:rsidRPr="00D40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E04"/>
    <w:multiLevelType w:val="multilevel"/>
    <w:tmpl w:val="CADC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0E92"/>
    <w:multiLevelType w:val="multilevel"/>
    <w:tmpl w:val="4A3A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C2F37"/>
    <w:multiLevelType w:val="multilevel"/>
    <w:tmpl w:val="3530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61964"/>
    <w:multiLevelType w:val="multilevel"/>
    <w:tmpl w:val="8FB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C4BEA"/>
    <w:multiLevelType w:val="multilevel"/>
    <w:tmpl w:val="2B18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D33EC"/>
    <w:multiLevelType w:val="multilevel"/>
    <w:tmpl w:val="208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23573"/>
    <w:multiLevelType w:val="multilevel"/>
    <w:tmpl w:val="50B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749E7"/>
    <w:multiLevelType w:val="multilevel"/>
    <w:tmpl w:val="D9EA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B0DB0"/>
    <w:multiLevelType w:val="multilevel"/>
    <w:tmpl w:val="A66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52527"/>
    <w:multiLevelType w:val="multilevel"/>
    <w:tmpl w:val="FE1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145CD"/>
    <w:multiLevelType w:val="multilevel"/>
    <w:tmpl w:val="1C1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B51F4"/>
    <w:multiLevelType w:val="multilevel"/>
    <w:tmpl w:val="7B8E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D111F"/>
    <w:multiLevelType w:val="multilevel"/>
    <w:tmpl w:val="0C9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60599"/>
    <w:multiLevelType w:val="multilevel"/>
    <w:tmpl w:val="E88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033EBF"/>
    <w:multiLevelType w:val="multilevel"/>
    <w:tmpl w:val="E2F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2516B8"/>
    <w:multiLevelType w:val="multilevel"/>
    <w:tmpl w:val="77D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B02160"/>
    <w:multiLevelType w:val="multilevel"/>
    <w:tmpl w:val="3F4A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72465"/>
    <w:multiLevelType w:val="multilevel"/>
    <w:tmpl w:val="F8B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261F2E"/>
    <w:multiLevelType w:val="multilevel"/>
    <w:tmpl w:val="BEBA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242759"/>
    <w:multiLevelType w:val="multilevel"/>
    <w:tmpl w:val="636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06675F"/>
    <w:multiLevelType w:val="multilevel"/>
    <w:tmpl w:val="E17A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6B5DD4"/>
    <w:multiLevelType w:val="multilevel"/>
    <w:tmpl w:val="AA0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781101"/>
    <w:multiLevelType w:val="multilevel"/>
    <w:tmpl w:val="28E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7F1574"/>
    <w:multiLevelType w:val="multilevel"/>
    <w:tmpl w:val="94AC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56096E"/>
    <w:multiLevelType w:val="multilevel"/>
    <w:tmpl w:val="D59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C039EF"/>
    <w:multiLevelType w:val="multilevel"/>
    <w:tmpl w:val="7BD4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2124C1"/>
    <w:multiLevelType w:val="multilevel"/>
    <w:tmpl w:val="815E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535700"/>
    <w:multiLevelType w:val="multilevel"/>
    <w:tmpl w:val="B79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074D15"/>
    <w:multiLevelType w:val="multilevel"/>
    <w:tmpl w:val="B5C0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CA56C6"/>
    <w:multiLevelType w:val="multilevel"/>
    <w:tmpl w:val="3FAE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F6185B"/>
    <w:multiLevelType w:val="multilevel"/>
    <w:tmpl w:val="3CE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234A10"/>
    <w:multiLevelType w:val="multilevel"/>
    <w:tmpl w:val="069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2D0913"/>
    <w:multiLevelType w:val="multilevel"/>
    <w:tmpl w:val="96D4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782F4D"/>
    <w:multiLevelType w:val="multilevel"/>
    <w:tmpl w:val="D268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47"/>
  </w:num>
  <w:num w:numId="4">
    <w:abstractNumId w:val="31"/>
  </w:num>
  <w:num w:numId="5">
    <w:abstractNumId w:val="15"/>
  </w:num>
  <w:num w:numId="6">
    <w:abstractNumId w:val="4"/>
  </w:num>
  <w:num w:numId="7">
    <w:abstractNumId w:val="21"/>
  </w:num>
  <w:num w:numId="8">
    <w:abstractNumId w:val="38"/>
  </w:num>
  <w:num w:numId="9">
    <w:abstractNumId w:val="18"/>
  </w:num>
  <w:num w:numId="10">
    <w:abstractNumId w:val="7"/>
  </w:num>
  <w:num w:numId="11">
    <w:abstractNumId w:val="45"/>
  </w:num>
  <w:num w:numId="12">
    <w:abstractNumId w:val="36"/>
  </w:num>
  <w:num w:numId="13">
    <w:abstractNumId w:val="9"/>
  </w:num>
  <w:num w:numId="14">
    <w:abstractNumId w:val="43"/>
  </w:num>
  <w:num w:numId="15">
    <w:abstractNumId w:val="22"/>
  </w:num>
  <w:num w:numId="16">
    <w:abstractNumId w:val="42"/>
  </w:num>
  <w:num w:numId="17">
    <w:abstractNumId w:val="34"/>
  </w:num>
  <w:num w:numId="18">
    <w:abstractNumId w:val="23"/>
  </w:num>
  <w:num w:numId="19">
    <w:abstractNumId w:val="19"/>
  </w:num>
  <w:num w:numId="20">
    <w:abstractNumId w:val="17"/>
  </w:num>
  <w:num w:numId="21">
    <w:abstractNumId w:val="46"/>
  </w:num>
  <w:num w:numId="22">
    <w:abstractNumId w:val="14"/>
  </w:num>
  <w:num w:numId="23">
    <w:abstractNumId w:val="28"/>
  </w:num>
  <w:num w:numId="24">
    <w:abstractNumId w:val="13"/>
  </w:num>
  <w:num w:numId="25">
    <w:abstractNumId w:val="3"/>
  </w:num>
  <w:num w:numId="26">
    <w:abstractNumId w:val="33"/>
  </w:num>
  <w:num w:numId="27">
    <w:abstractNumId w:val="48"/>
  </w:num>
  <w:num w:numId="28">
    <w:abstractNumId w:val="37"/>
  </w:num>
  <w:num w:numId="29">
    <w:abstractNumId w:val="44"/>
  </w:num>
  <w:num w:numId="30">
    <w:abstractNumId w:val="39"/>
  </w:num>
  <w:num w:numId="31">
    <w:abstractNumId w:val="16"/>
  </w:num>
  <w:num w:numId="32">
    <w:abstractNumId w:val="8"/>
  </w:num>
  <w:num w:numId="33">
    <w:abstractNumId w:val="49"/>
  </w:num>
  <w:num w:numId="34">
    <w:abstractNumId w:val="40"/>
  </w:num>
  <w:num w:numId="35">
    <w:abstractNumId w:val="32"/>
  </w:num>
  <w:num w:numId="36">
    <w:abstractNumId w:val="5"/>
  </w:num>
  <w:num w:numId="37">
    <w:abstractNumId w:val="6"/>
  </w:num>
  <w:num w:numId="38">
    <w:abstractNumId w:val="25"/>
  </w:num>
  <w:num w:numId="39">
    <w:abstractNumId w:val="12"/>
  </w:num>
  <w:num w:numId="40">
    <w:abstractNumId w:val="10"/>
  </w:num>
  <w:num w:numId="41">
    <w:abstractNumId w:val="1"/>
  </w:num>
  <w:num w:numId="42">
    <w:abstractNumId w:val="26"/>
  </w:num>
  <w:num w:numId="43">
    <w:abstractNumId w:val="41"/>
  </w:num>
  <w:num w:numId="44">
    <w:abstractNumId w:val="0"/>
  </w:num>
  <w:num w:numId="45">
    <w:abstractNumId w:val="27"/>
  </w:num>
  <w:num w:numId="46">
    <w:abstractNumId w:val="24"/>
  </w:num>
  <w:num w:numId="47">
    <w:abstractNumId w:val="2"/>
  </w:num>
  <w:num w:numId="48">
    <w:abstractNumId w:val="29"/>
  </w:num>
  <w:num w:numId="49">
    <w:abstractNumId w:val="3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F7C63"/>
    <w:rsid w:val="00305853"/>
    <w:rsid w:val="003679F8"/>
    <w:rsid w:val="00400021"/>
    <w:rsid w:val="00456DB4"/>
    <w:rsid w:val="004925D7"/>
    <w:rsid w:val="004B5A77"/>
    <w:rsid w:val="004C251B"/>
    <w:rsid w:val="005065C6"/>
    <w:rsid w:val="00536240"/>
    <w:rsid w:val="00557E60"/>
    <w:rsid w:val="00575A9D"/>
    <w:rsid w:val="006206B0"/>
    <w:rsid w:val="006451C8"/>
    <w:rsid w:val="006533C4"/>
    <w:rsid w:val="00687173"/>
    <w:rsid w:val="006A2EED"/>
    <w:rsid w:val="006F4797"/>
    <w:rsid w:val="00707A00"/>
    <w:rsid w:val="00744167"/>
    <w:rsid w:val="007E5AD1"/>
    <w:rsid w:val="00882974"/>
    <w:rsid w:val="008966EB"/>
    <w:rsid w:val="008A079A"/>
    <w:rsid w:val="008B1D8B"/>
    <w:rsid w:val="008E22A8"/>
    <w:rsid w:val="00951E6F"/>
    <w:rsid w:val="009B6F03"/>
    <w:rsid w:val="00A237A1"/>
    <w:rsid w:val="00A403C7"/>
    <w:rsid w:val="00B22AB6"/>
    <w:rsid w:val="00B422A3"/>
    <w:rsid w:val="00BA6EF2"/>
    <w:rsid w:val="00BE4EC5"/>
    <w:rsid w:val="00D06C47"/>
    <w:rsid w:val="00D409D8"/>
    <w:rsid w:val="00DE15CC"/>
    <w:rsid w:val="00DF1BC9"/>
    <w:rsid w:val="00E068F2"/>
    <w:rsid w:val="00E61CAD"/>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6092</Characters>
  <Application>Microsoft Office Word</Application>
  <DocSecurity>0</DocSecurity>
  <Lines>243</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2019-05-23T15:43:00Z</dcterms:created>
  <dcterms:modified xsi:type="dcterms:W3CDTF">2019-05-23T15:43:00Z</dcterms:modified>
</cp:coreProperties>
</file>