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91" w:rsidRPr="00847C91" w:rsidRDefault="00847C91" w:rsidP="00847C91">
      <w:pPr>
        <w:pStyle w:val="Kop1"/>
        <w:shd w:val="clear" w:color="auto" w:fill="FFFFFF"/>
        <w:rPr>
          <w:rFonts w:ascii="Titillium Web" w:hAnsi="Titillium Web"/>
          <w:b w:val="0"/>
          <w:bCs w:val="0"/>
          <w:color w:val="777777"/>
          <w:sz w:val="55"/>
          <w:szCs w:val="55"/>
          <w:lang w:val="nl-BE"/>
        </w:rPr>
      </w:pPr>
      <w:r w:rsidRPr="00847C91">
        <w:rPr>
          <w:rFonts w:ascii="Titillium Web" w:hAnsi="Titillium Web"/>
          <w:b w:val="0"/>
          <w:bCs w:val="0"/>
          <w:color w:val="777777"/>
          <w:sz w:val="55"/>
          <w:szCs w:val="55"/>
          <w:lang w:val="nl-BE"/>
        </w:rPr>
        <w:t>21.03.2019 - Onderling overleg - Noorse gedetacheerde nationale experten werkzaam in België</w:t>
      </w:r>
    </w:p>
    <w:p w:rsidR="00847C91" w:rsidRDefault="00847C91" w:rsidP="00847C91">
      <w:pPr>
        <w:rPr>
          <w:rFonts w:ascii="Times New Roman" w:hAnsi="Times New Roman"/>
          <w:sz w:val="24"/>
          <w:szCs w:val="24"/>
        </w:rPr>
      </w:pPr>
      <w:r>
        <w:rPr>
          <w:rFonts w:ascii="Titillium Web" w:hAnsi="Titillium Web"/>
          <w:color w:val="444444"/>
          <w:sz w:val="20"/>
          <w:szCs w:val="20"/>
        </w:rPr>
        <w:br/>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Krachtens Artikel 24 nr. 3 van het dubbelbelastingverdrag tussen België en Noorwegen, zijn de bevoegde autoriteiten van België en Noorwegen als volgt overeengekomen:</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Het Europese Protocol betreffende de voorrechten en immuniteiten is niet van toepassing op Noorse gedetacheerde nationale experten werkzaam binnen de EU/EER,</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Lonen van Noorse gedetacheerde nationale experten die nog steeds betaald worden door de Noorse regering zijn belastbaar in Noorwegen op grond van Artikel 18 (Overheidsfuncties) van het dubbelbelastingverdrag tussen Noorwegen en België,</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firstLine="1"/>
        <w:rPr>
          <w:rFonts w:ascii="Titillium Web" w:hAnsi="Titillium Web"/>
          <w:color w:val="444444"/>
          <w:sz w:val="20"/>
          <w:szCs w:val="20"/>
          <w:lang w:val="nl-BE"/>
        </w:rPr>
      </w:pPr>
      <w:r w:rsidRPr="00847C91">
        <w:rPr>
          <w:rFonts w:ascii="Calibri" w:hAnsi="Calibri" w:cs="Calibri"/>
          <w:color w:val="444444"/>
          <w:sz w:val="22"/>
          <w:szCs w:val="22"/>
          <w:lang w:val="nl-BE"/>
        </w:rPr>
        <w:t>De lonen van de Noorse gedetacheerde nationale experten zullen worden vrijgesteld van belasting in België op basis van artikel 18 van het dubbelbelastingverdrag tussen Noorwegen en België,</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Indien een Noors gedetacheerd nationaal expert inkomsten zouverkrijgen ter zake van een dienstbetrekking die volgens de Noorse belastingautoriteiten beschouwd worden als inkomsten in de zin van Artikel 14 (inkomsten uit een dienstbetrekking) van het dubbelbelastingverdrag, zal België volgen en de regels van Artikel 14 op dat inkomen toepassen. De Noorse belastingautoriteiten zullen dergelijke inlichtingen spontaan uitwisselen met de Belgische autoriteiten krachtens Artikel 25 (uitwisseling van inlichtingen) van het dubbelbelastingverdrag,</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Normaliter worden Noorse gedetacheerde nationale experten terwijl zij werkzaam zijn in België aangemerkt als fiscaal inwoner van Noorwegen volgens het Noors nationaal recht. Als zodanig zijn zij belastbaar over hun wereldinkomen in Noorwegen,</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Indien Noorse gedetacheerde nationale experten ingeschreven zijn in het Belgisch Rijksregister worden zij in principe aangemerkt als fiscaleinwoners van België volgens het Belgisch nationaal recht.  Als zodanig zijn zij belastbaar over hun wereldinkomen in België,</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ind w:left="708"/>
        <w:rPr>
          <w:rFonts w:ascii="Titillium Web" w:hAnsi="Titillium Web"/>
          <w:color w:val="444444"/>
          <w:sz w:val="20"/>
          <w:szCs w:val="20"/>
          <w:lang w:val="nl-BE"/>
        </w:rPr>
      </w:pPr>
      <w:r w:rsidRPr="00847C91">
        <w:rPr>
          <w:rFonts w:ascii="Calibri" w:hAnsi="Calibri" w:cs="Calibri"/>
          <w:color w:val="444444"/>
          <w:sz w:val="22"/>
          <w:szCs w:val="22"/>
          <w:lang w:val="nl-BE"/>
        </w:rPr>
        <w:t>Indien een Noors gedetacheerd nationaal expert zowel inwoner is van België als van Noorwegen volgens nationaal recht, moet de fiscale woonplaats bepaald worden overeenkomstig Artikel 4 nr. 2 (Inwoner) van het dubbelbelastingverdrag.</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21 Maart 2019,</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Voor de bevoegde autoriteit van België              Voor de bevoegde autoriteit van Noorwegen,</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lastRenderedPageBreak/>
        <w:t> </w:t>
      </w:r>
    </w:p>
    <w:p w:rsidR="00847C91" w:rsidRPr="00847C91" w:rsidRDefault="00847C91" w:rsidP="00847C91">
      <w:pPr>
        <w:pStyle w:val="Normaalweb"/>
        <w:shd w:val="clear" w:color="auto" w:fill="FFFFFF"/>
        <w:spacing w:before="0" w:beforeAutospacing="0" w:after="0" w:afterAutospacing="0"/>
        <w:rPr>
          <w:rFonts w:ascii="Titillium Web" w:hAnsi="Titillium Web"/>
          <w:color w:val="444444"/>
          <w:sz w:val="20"/>
          <w:szCs w:val="20"/>
          <w:lang w:val="nl-BE"/>
        </w:rPr>
      </w:pPr>
      <w:r w:rsidRPr="00847C91">
        <w:rPr>
          <w:rFonts w:ascii="Calibri" w:hAnsi="Calibri" w:cs="Calibri"/>
          <w:color w:val="444444"/>
          <w:sz w:val="22"/>
          <w:szCs w:val="22"/>
          <w:lang w:val="nl-BE"/>
        </w:rPr>
        <w:t> </w:t>
      </w:r>
    </w:p>
    <w:p w:rsidR="00847C91" w:rsidRDefault="00847C91" w:rsidP="00847C91">
      <w:pPr>
        <w:pStyle w:val="Normaalweb"/>
        <w:shd w:val="clear" w:color="auto" w:fill="FFFFFF"/>
        <w:spacing w:before="0" w:beforeAutospacing="0" w:after="0" w:afterAutospacing="0"/>
        <w:rPr>
          <w:rFonts w:ascii="Titillium Web" w:hAnsi="Titillium Web"/>
          <w:color w:val="444444"/>
          <w:sz w:val="20"/>
          <w:szCs w:val="20"/>
        </w:rPr>
      </w:pPr>
      <w:r>
        <w:rPr>
          <w:rFonts w:ascii="Calibri" w:hAnsi="Calibri" w:cs="Calibri"/>
          <w:color w:val="444444"/>
          <w:sz w:val="22"/>
          <w:szCs w:val="22"/>
        </w:rPr>
        <w:t>……………………………………………………………..…………………………………………………………….</w:t>
      </w:r>
    </w:p>
    <w:p w:rsidR="00B422A3" w:rsidRPr="00847C91" w:rsidRDefault="00B422A3" w:rsidP="00847C91">
      <w:bookmarkStart w:id="0" w:name="_GoBack"/>
      <w:bookmarkEnd w:id="0"/>
    </w:p>
    <w:sectPr w:rsidR="00B422A3" w:rsidRPr="00847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22A8"/>
    <w:rsid w:val="00951E6F"/>
    <w:rsid w:val="009B6F03"/>
    <w:rsid w:val="00A237A1"/>
    <w:rsid w:val="00A403C7"/>
    <w:rsid w:val="00B22AB6"/>
    <w:rsid w:val="00B422A3"/>
    <w:rsid w:val="00BA6EF2"/>
    <w:rsid w:val="00BB775C"/>
    <w:rsid w:val="00BE4EC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1990</Characters>
  <Application>Microsoft Office Word</Application>
  <DocSecurity>0</DocSecurity>
  <Lines>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2019-05-23T15:45:00Z</dcterms:created>
  <dcterms:modified xsi:type="dcterms:W3CDTF">2019-05-23T15:45:00Z</dcterms:modified>
</cp:coreProperties>
</file>