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B3B" w:rsidRPr="00047B3B" w:rsidRDefault="00047B3B" w:rsidP="00047B3B">
      <w:pPr>
        <w:pStyle w:val="Kop1"/>
        <w:shd w:val="clear" w:color="auto" w:fill="FFFFFF"/>
        <w:rPr>
          <w:rFonts w:ascii="Verdana" w:hAnsi="Verdana"/>
          <w:b w:val="0"/>
          <w:bCs w:val="0"/>
          <w:color w:val="777777"/>
          <w:sz w:val="55"/>
          <w:szCs w:val="55"/>
          <w:lang w:val="nl-BE"/>
        </w:rPr>
      </w:pPr>
      <w:r w:rsidRPr="00047B3B">
        <w:rPr>
          <w:rFonts w:ascii="Verdana" w:hAnsi="Verdana"/>
          <w:b w:val="0"/>
          <w:bCs w:val="0"/>
          <w:color w:val="777777"/>
          <w:sz w:val="55"/>
          <w:szCs w:val="55"/>
          <w:lang w:val="nl-BE"/>
        </w:rPr>
        <w:t>Italië (Aanvullend protocol van 19.12.1984)</w:t>
      </w:r>
    </w:p>
    <w:p w:rsidR="00047B3B" w:rsidRDefault="00047B3B" w:rsidP="00047B3B">
      <w:pPr>
        <w:rPr>
          <w:rFonts w:ascii="Times New Roman" w:hAnsi="Times New Roman"/>
          <w:sz w:val="24"/>
          <w:szCs w:val="24"/>
        </w:rPr>
      </w:pPr>
      <w:r>
        <w:rPr>
          <w:rFonts w:ascii="Verdana" w:hAnsi="Verdana"/>
          <w:color w:val="444444"/>
          <w:sz w:val="20"/>
          <w:szCs w:val="20"/>
        </w:rPr>
        <w:br/>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Zwaar"/>
          <w:rFonts w:ascii="Verdana" w:hAnsi="Verdana"/>
          <w:color w:val="444444"/>
          <w:sz w:val="20"/>
          <w:szCs w:val="20"/>
          <w:lang w:val="nl-BE"/>
        </w:rPr>
        <w:t>Italië (Aanvullend protocol van 19.12.1984)</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Nadruk"/>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Zwaar"/>
          <w:rFonts w:ascii="Verdana" w:hAnsi="Verdana"/>
          <w:color w:val="444444"/>
          <w:sz w:val="20"/>
          <w:szCs w:val="20"/>
          <w:lang w:val="nl-BE"/>
        </w:rPr>
        <w:t>Aanvullend protocol tot wijziging van het slotprotocol bij de overeenkomst tussen België en Italië tot het vermijden van dubbele belasting en tot het voorkomen van het ontduiken en het ontgaan van belasting op het gebied van belastingen naar het inkomen, ondertekend te Rome, op 29 april 1983.</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47B3B" w:rsidTr="00047B3B">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047B3B" w:rsidRPr="00047B3B" w:rsidRDefault="00047B3B">
            <w:pPr>
              <w:pStyle w:val="Normaalweb"/>
              <w:rPr>
                <w:lang w:val="nl-BE"/>
              </w:rPr>
            </w:pPr>
            <w:r w:rsidRPr="00047B3B">
              <w:rPr>
                <w:rStyle w:val="Zwaar"/>
                <w:lang w:val="nl-BE"/>
              </w:rPr>
              <w:t>Aanvullend</w:t>
            </w:r>
            <w:r w:rsidRPr="00047B3B">
              <w:rPr>
                <w:lang w:val="nl-BE"/>
              </w:rPr>
              <w:t> </w:t>
            </w:r>
            <w:r w:rsidRPr="00047B3B">
              <w:rPr>
                <w:rStyle w:val="Zwaar"/>
                <w:lang w:val="nl-BE"/>
              </w:rPr>
              <w:t>Protocol</w:t>
            </w:r>
            <w:r w:rsidRPr="00047B3B">
              <w:rPr>
                <w:lang w:val="nl-BE"/>
              </w:rPr>
              <w:t> ondertekend op 19.12.1984</w:t>
            </w:r>
          </w:p>
          <w:p w:rsidR="00047B3B" w:rsidRPr="00047B3B" w:rsidRDefault="00047B3B">
            <w:pPr>
              <w:pStyle w:val="Normaalweb"/>
              <w:rPr>
                <w:lang w:val="nl-BE"/>
              </w:rPr>
            </w:pPr>
            <w:r w:rsidRPr="00047B3B">
              <w:rPr>
                <w:lang w:val="nl-BE"/>
              </w:rPr>
              <w:t>Goedkeuringswet: 08.08.1986</w:t>
            </w:r>
          </w:p>
          <w:p w:rsidR="00047B3B" w:rsidRPr="00047B3B" w:rsidRDefault="00047B3B">
            <w:pPr>
              <w:pStyle w:val="Normaalweb"/>
              <w:rPr>
                <w:lang w:val="nl-BE"/>
              </w:rPr>
            </w:pPr>
            <w:r w:rsidRPr="00047B3B">
              <w:rPr>
                <w:lang w:val="nl-BE"/>
              </w:rPr>
              <w:t>Verschenen in Belgisch Staatsblad: 28.09.1989 - 22.03.1990</w:t>
            </w:r>
          </w:p>
          <w:p w:rsidR="00047B3B" w:rsidRPr="00047B3B" w:rsidRDefault="00047B3B">
            <w:pPr>
              <w:pStyle w:val="Normaalweb"/>
              <w:rPr>
                <w:lang w:val="nl-BE"/>
              </w:rPr>
            </w:pPr>
            <w:r w:rsidRPr="00047B3B">
              <w:rPr>
                <w:lang w:val="nl-BE"/>
              </w:rPr>
              <w:t>In werking getreden op 29.07.1989</w:t>
            </w:r>
          </w:p>
          <w:p w:rsidR="00047B3B" w:rsidRPr="00047B3B" w:rsidRDefault="00047B3B">
            <w:pPr>
              <w:pStyle w:val="Normaalweb"/>
              <w:rPr>
                <w:lang w:val="nl-BE"/>
              </w:rPr>
            </w:pPr>
            <w:r w:rsidRPr="00047B3B">
              <w:rPr>
                <w:lang w:val="nl-BE"/>
              </w:rPr>
              <w:t> </w:t>
            </w:r>
          </w:p>
          <w:p w:rsidR="00047B3B" w:rsidRPr="00047B3B" w:rsidRDefault="00047B3B">
            <w:pPr>
              <w:pStyle w:val="Normaalweb"/>
              <w:rPr>
                <w:lang w:val="nl-BE"/>
              </w:rPr>
            </w:pPr>
            <w:r w:rsidRPr="00047B3B">
              <w:rPr>
                <w:u w:val="single"/>
                <w:lang w:val="nl-BE"/>
              </w:rPr>
              <w:t>Toepassing vanaf:</w:t>
            </w:r>
          </w:p>
          <w:p w:rsidR="00047B3B" w:rsidRPr="00047B3B" w:rsidRDefault="00047B3B">
            <w:pPr>
              <w:pStyle w:val="Normaalweb"/>
              <w:rPr>
                <w:lang w:val="nl-BE"/>
              </w:rPr>
            </w:pPr>
            <w:r w:rsidRPr="00047B3B">
              <w:rPr>
                <w:lang w:val="nl-BE"/>
              </w:rPr>
              <w:t>- Bronbelasting: 01.01.1990</w:t>
            </w:r>
          </w:p>
          <w:p w:rsidR="00047B3B" w:rsidRPr="00047B3B" w:rsidRDefault="00047B3B">
            <w:pPr>
              <w:pStyle w:val="Normaalweb"/>
              <w:rPr>
                <w:lang w:val="nl-BE"/>
              </w:rPr>
            </w:pPr>
            <w:r w:rsidRPr="00047B3B">
              <w:rPr>
                <w:lang w:val="nl-BE"/>
              </w:rPr>
              <w:t>- Andere belastingen: 31.12.1990</w:t>
            </w:r>
          </w:p>
          <w:p w:rsidR="00047B3B" w:rsidRPr="00047B3B" w:rsidRDefault="00047B3B">
            <w:pPr>
              <w:pStyle w:val="Normaalweb"/>
              <w:rPr>
                <w:lang w:val="nl-BE"/>
              </w:rPr>
            </w:pPr>
            <w:r w:rsidRPr="00047B3B">
              <w:rPr>
                <w:lang w:val="nl-BE"/>
              </w:rPr>
              <w:t> </w:t>
            </w:r>
          </w:p>
          <w:p w:rsidR="00047B3B" w:rsidRDefault="00047B3B">
            <w:pPr>
              <w:pStyle w:val="Normaalweb"/>
            </w:pPr>
            <w:r>
              <w:t>Bull. 694</w:t>
            </w:r>
          </w:p>
        </w:tc>
      </w:tr>
      <w:tr w:rsidR="00047B3B" w:rsidTr="00047B3B">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047B3B" w:rsidRPr="00047B3B" w:rsidRDefault="00047B3B">
            <w:pPr>
              <w:pStyle w:val="Normaalweb"/>
              <w:rPr>
                <w:lang w:val="nl-BE"/>
              </w:rPr>
            </w:pPr>
            <w:r>
              <w:fldChar w:fldCharType="begin"/>
            </w:r>
            <w:r w:rsidRPr="00047B3B">
              <w:rPr>
                <w:lang w:val="nl-BE"/>
              </w:rPr>
              <w:instrText xml:space="preserve"> HYPERLINK "http://www.dekamer.be/digidoc/DPS/K2039/K20394232/K20394232.pdf" </w:instrText>
            </w:r>
            <w:r>
              <w:fldChar w:fldCharType="separate"/>
            </w:r>
            <w:r w:rsidRPr="00047B3B">
              <w:rPr>
                <w:rStyle w:val="Hyperlink"/>
                <w:color w:val="663399"/>
                <w:lang w:val="nl-BE"/>
              </w:rPr>
              <w:t>http://www.dekamer.be/digidoc/DPS/K2039/K20394232/K20394232.pdf</w:t>
            </w:r>
            <w:r>
              <w:fldChar w:fldCharType="end"/>
            </w:r>
          </w:p>
        </w:tc>
      </w:tr>
    </w:tbl>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Zwaa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Nadruk"/>
          <w:rFonts w:ascii="Verdana" w:hAnsi="Verdana"/>
          <w:b/>
          <w:bCs/>
          <w:color w:val="444444"/>
          <w:sz w:val="20"/>
          <w:szCs w:val="20"/>
          <w:lang w:val="nl-BE"/>
        </w:rPr>
        <w:t>Artikel 1</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xml:space="preserve">Paragraaf 3 van het Slotprotocol bij de Overeenkomst tussen België en Italië tot het vermijden van dubbele belasting en tot het voorkomen van het ontduiken en het ontgaan </w:t>
      </w:r>
      <w:r w:rsidRPr="00047B3B">
        <w:rPr>
          <w:rFonts w:ascii="Verdana" w:hAnsi="Verdana"/>
          <w:color w:val="444444"/>
          <w:sz w:val="20"/>
          <w:szCs w:val="20"/>
          <w:lang w:val="nl-BE"/>
        </w:rPr>
        <w:lastRenderedPageBreak/>
        <w:t>van belasting op het gebied van belastingen naar het inkomen, getekend te Rome op 29 april 1983, wordt vervangen door de volgende tekst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"3. De bepalingen van artikel 19, paragrafen 1 en 2, zijn van toepassing op beloningen en pensioenen die door de volgende diensten of instellingen aan hun personeel worden toegekend;</w:t>
      </w:r>
    </w:p>
    <w:p w:rsidR="00047B3B" w:rsidRPr="00047B3B" w:rsidRDefault="00047B3B" w:rsidP="00047B3B">
      <w:pPr>
        <w:pStyle w:val="opsomming1"/>
        <w:shd w:val="clear" w:color="auto" w:fill="FFFFFF"/>
        <w:rPr>
          <w:rFonts w:ascii="Verdana" w:hAnsi="Verdana"/>
          <w:color w:val="444444"/>
          <w:sz w:val="20"/>
          <w:szCs w:val="20"/>
          <w:lang w:val="nl-BE"/>
        </w:rPr>
      </w:pPr>
      <w:r w:rsidRPr="00047B3B">
        <w:rPr>
          <w:rFonts w:ascii="Verdana" w:hAnsi="Verdana"/>
          <w:color w:val="444444"/>
          <w:sz w:val="20"/>
          <w:szCs w:val="20"/>
          <w:lang w:val="nl-BE"/>
        </w:rPr>
        <w:t>(a) met betrekking tot België :</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Nationale Maatschappij der Belgische Spoorwegen;</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Regie der Posterijen;</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Regie van Telegrafie en Telefonie;</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het Commissariaat</w:t>
      </w:r>
      <w:r w:rsidRPr="00047B3B">
        <w:rPr>
          <w:rFonts w:ascii="Verdana" w:hAnsi="Verdana"/>
          <w:color w:val="444444"/>
          <w:sz w:val="20"/>
          <w:szCs w:val="20"/>
          <w:lang w:val="nl-BE"/>
        </w:rPr>
        <w:softHyphen/>
        <w:t>Generaal voor Toerisme;</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Belgische Dienst voor Buitenlandse Handel;</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Nationale Bank van België;</w:t>
      </w:r>
    </w:p>
    <w:p w:rsidR="00047B3B" w:rsidRPr="00047B3B" w:rsidRDefault="00047B3B" w:rsidP="00047B3B">
      <w:pPr>
        <w:pStyle w:val="opsomming1"/>
        <w:shd w:val="clear" w:color="auto" w:fill="FFFFFF"/>
        <w:rPr>
          <w:rFonts w:ascii="Verdana" w:hAnsi="Verdana"/>
          <w:color w:val="444444"/>
          <w:sz w:val="20"/>
          <w:szCs w:val="20"/>
          <w:lang w:val="nl-BE"/>
        </w:rPr>
      </w:pPr>
      <w:r w:rsidRPr="00047B3B">
        <w:rPr>
          <w:rFonts w:ascii="Verdana" w:hAnsi="Verdana"/>
          <w:color w:val="444444"/>
          <w:sz w:val="20"/>
          <w:szCs w:val="20"/>
          <w:lang w:val="nl-BE"/>
        </w:rPr>
        <w:t>(b) met betrekking tot Italië :</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Administratie der Italiaanse Spoorwegen;</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(I'Azienda Autonoma delle Ferrovie dello Stato);</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Administratie van de Diensten voor Posterijen en Telecommunicatie;</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(I'Amministrazione delle Poste e delle Telecommunicazioni);</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Italiaanse Nationale Dienst voor Toerisme;</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(I'Ente nazionale italiano per il Turismo);</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het Instituut voor de Buitenlandse Handel;</w:t>
      </w:r>
    </w:p>
    <w:p w:rsidR="00047B3B" w:rsidRDefault="00047B3B" w:rsidP="00047B3B">
      <w:pPr>
        <w:pStyle w:val="opsomming2"/>
        <w:shd w:val="clear" w:color="auto" w:fill="FFFFFF"/>
        <w:rPr>
          <w:rFonts w:ascii="Verdana" w:hAnsi="Verdana"/>
          <w:color w:val="444444"/>
          <w:sz w:val="20"/>
          <w:szCs w:val="20"/>
        </w:rPr>
      </w:pPr>
      <w:r>
        <w:rPr>
          <w:rFonts w:ascii="Verdana" w:hAnsi="Verdana"/>
          <w:color w:val="444444"/>
          <w:sz w:val="20"/>
          <w:szCs w:val="20"/>
        </w:rPr>
        <w:t>(</w:t>
      </w:r>
      <w:proofErr w:type="spellStart"/>
      <w:r>
        <w:rPr>
          <w:rFonts w:ascii="Verdana" w:hAnsi="Verdana"/>
          <w:color w:val="444444"/>
          <w:sz w:val="20"/>
          <w:szCs w:val="20"/>
        </w:rPr>
        <w:t>I'Istituto</w:t>
      </w:r>
      <w:proofErr w:type="spellEnd"/>
      <w:r>
        <w:rPr>
          <w:rFonts w:ascii="Verdana" w:hAnsi="Verdana"/>
          <w:color w:val="444444"/>
          <w:sz w:val="20"/>
          <w:szCs w:val="20"/>
        </w:rPr>
        <w:t xml:space="preserve"> per </w:t>
      </w:r>
      <w:proofErr w:type="spellStart"/>
      <w:r>
        <w:rPr>
          <w:rFonts w:ascii="Verdana" w:hAnsi="Verdana"/>
          <w:color w:val="444444"/>
          <w:sz w:val="20"/>
          <w:szCs w:val="20"/>
        </w:rPr>
        <w:t>il</w:t>
      </w:r>
      <w:proofErr w:type="spellEnd"/>
      <w:r>
        <w:rPr>
          <w:rFonts w:ascii="Verdana" w:hAnsi="Verdana"/>
          <w:color w:val="444444"/>
          <w:sz w:val="20"/>
          <w:szCs w:val="20"/>
        </w:rPr>
        <w:t xml:space="preserve"> </w:t>
      </w:r>
      <w:proofErr w:type="spellStart"/>
      <w:r>
        <w:rPr>
          <w:rFonts w:ascii="Verdana" w:hAnsi="Verdana"/>
          <w:color w:val="444444"/>
          <w:sz w:val="20"/>
          <w:szCs w:val="20"/>
        </w:rPr>
        <w:t>Commercio</w:t>
      </w:r>
      <w:proofErr w:type="spellEnd"/>
      <w:r>
        <w:rPr>
          <w:rFonts w:ascii="Verdana" w:hAnsi="Verdana"/>
          <w:color w:val="444444"/>
          <w:sz w:val="20"/>
          <w:szCs w:val="20"/>
        </w:rPr>
        <w:t xml:space="preserve"> estero);</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de Bank van Italië;</w:t>
      </w:r>
    </w:p>
    <w:p w:rsidR="00047B3B" w:rsidRPr="00047B3B" w:rsidRDefault="00047B3B" w:rsidP="00047B3B">
      <w:pPr>
        <w:pStyle w:val="opsomming2"/>
        <w:shd w:val="clear" w:color="auto" w:fill="FFFFFF"/>
        <w:rPr>
          <w:rFonts w:ascii="Verdana" w:hAnsi="Verdana"/>
          <w:color w:val="444444"/>
          <w:sz w:val="20"/>
          <w:szCs w:val="20"/>
          <w:lang w:val="nl-BE"/>
        </w:rPr>
      </w:pPr>
      <w:r w:rsidRPr="00047B3B">
        <w:rPr>
          <w:rFonts w:ascii="Verdana" w:hAnsi="Verdana"/>
          <w:color w:val="444444"/>
          <w:sz w:val="20"/>
          <w:szCs w:val="20"/>
          <w:lang w:val="nl-BE"/>
        </w:rPr>
        <w:t>(la Bancad'Italia)".</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Nadruk"/>
          <w:rFonts w:ascii="Verdana" w:hAnsi="Verdana"/>
          <w:b/>
          <w:bCs/>
          <w:color w:val="444444"/>
          <w:sz w:val="20"/>
          <w:szCs w:val="20"/>
          <w:lang w:val="nl-BE"/>
        </w:rPr>
        <w:t>Artikel 2</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lastRenderedPageBreak/>
        <w:t>1. Dit aanvullend Protocol zal worden bekrachtigd en de bekrachtigingsoorkonden zullen zo spoedig mogelijk te Brussel worden uitgewisseld, tegelijkertijd met deze van de Overeenkomst tussen België en Italië tot het vermijden van dubbele belasting en tot het voorkomen van het ontduiken en het ontgaan van belasting op het gebied van belastingen naar het inkomen, en deze van het Slotprotocol, ondertekend te Rome op 29 april 1983.</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2. Dit aanvullend Protocol zal in werking treden de 15e dag die volgt op de dag van de uitwisseling van de bekrachtigingsoorkonden en de bepalingen ervan zullen van toepassing zijn op de belastingen waarop de Overeenkomst en het Slotprotocol, vermeld in paragraaf 1 van toepassing zijn.</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Nadruk"/>
          <w:rFonts w:ascii="Verdana" w:hAnsi="Verdana"/>
          <w:b/>
          <w:bCs/>
          <w:color w:val="444444"/>
          <w:sz w:val="20"/>
          <w:szCs w:val="20"/>
          <w:lang w:val="nl-BE"/>
        </w:rPr>
        <w:t>Artikel 3</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Dit aanvullend Protocol zal van kracht blijven zolang de Overeenkomst en het Slotprotocol, vermeld in paragraaf 1 van artikel 2 van toepassing blijven.</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Ten blijke waarvan de ondergetekenden, daartoe behoorlijk gemachtigd, dit aanvullend Protocol hebben ondertekend en daaraan hun zegel hebben gehecht.</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Gedaan te Rome, op 19 december1984 intweevoud, in de Nederlandse, de Franse en de Italiaanse taal, de drie teksten zijnde gelijkelijk authentiek.</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jc w:val="center"/>
        <w:rPr>
          <w:rFonts w:ascii="Verdana" w:hAnsi="Verdana"/>
          <w:color w:val="444444"/>
          <w:sz w:val="20"/>
          <w:szCs w:val="20"/>
          <w:lang w:val="nl-BE"/>
        </w:rPr>
      </w:pPr>
      <w:r w:rsidRPr="00047B3B">
        <w:rPr>
          <w:rFonts w:ascii="Verdana" w:hAnsi="Verdana"/>
          <w:color w:val="444444"/>
          <w:sz w:val="20"/>
          <w:szCs w:val="20"/>
          <w:lang w:val="nl-BE"/>
        </w:rPr>
        <w:t>Voor het Koninkrijk België,</w:t>
      </w:r>
    </w:p>
    <w:p w:rsidR="00047B3B" w:rsidRPr="00047B3B" w:rsidRDefault="00047B3B" w:rsidP="00047B3B">
      <w:pPr>
        <w:pStyle w:val="Normaalweb"/>
        <w:shd w:val="clear" w:color="auto" w:fill="FFFFFF"/>
        <w:jc w:val="center"/>
        <w:rPr>
          <w:rFonts w:ascii="Verdana" w:hAnsi="Verdana"/>
          <w:color w:val="444444"/>
          <w:sz w:val="20"/>
          <w:szCs w:val="20"/>
          <w:lang w:val="nl-BE"/>
        </w:rPr>
      </w:pPr>
      <w:r w:rsidRPr="00047B3B">
        <w:rPr>
          <w:rFonts w:ascii="Verdana" w:hAnsi="Verdana"/>
          <w:color w:val="444444"/>
          <w:sz w:val="20"/>
          <w:szCs w:val="20"/>
          <w:lang w:val="nl-BE"/>
        </w:rPr>
        <w:t>J. TROUVEROY</w:t>
      </w:r>
    </w:p>
    <w:p w:rsidR="00047B3B" w:rsidRPr="00047B3B" w:rsidRDefault="00047B3B" w:rsidP="00047B3B">
      <w:pPr>
        <w:pStyle w:val="Normaalweb"/>
        <w:shd w:val="clear" w:color="auto" w:fill="FFFFFF"/>
        <w:jc w:val="center"/>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jc w:val="center"/>
        <w:rPr>
          <w:rFonts w:ascii="Verdana" w:hAnsi="Verdana"/>
          <w:color w:val="444444"/>
          <w:sz w:val="20"/>
          <w:szCs w:val="20"/>
          <w:lang w:val="nl-BE"/>
        </w:rPr>
      </w:pPr>
      <w:r w:rsidRPr="00047B3B">
        <w:rPr>
          <w:rFonts w:ascii="Verdana" w:hAnsi="Verdana"/>
          <w:color w:val="444444"/>
          <w:sz w:val="20"/>
          <w:szCs w:val="20"/>
          <w:lang w:val="nl-BE"/>
        </w:rPr>
        <w:t>Voor de Italiaanse Republiek,</w:t>
      </w:r>
    </w:p>
    <w:p w:rsidR="00047B3B" w:rsidRPr="00047B3B" w:rsidRDefault="00047B3B" w:rsidP="00047B3B">
      <w:pPr>
        <w:pStyle w:val="Normaalweb"/>
        <w:shd w:val="clear" w:color="auto" w:fill="FFFFFF"/>
        <w:jc w:val="center"/>
        <w:rPr>
          <w:rFonts w:ascii="Verdana" w:hAnsi="Verdana"/>
          <w:color w:val="444444"/>
          <w:sz w:val="20"/>
          <w:szCs w:val="20"/>
          <w:lang w:val="nl-BE"/>
        </w:rPr>
      </w:pPr>
      <w:r w:rsidRPr="00047B3B">
        <w:rPr>
          <w:rFonts w:ascii="Verdana" w:hAnsi="Verdana"/>
          <w:color w:val="444444"/>
          <w:sz w:val="20"/>
          <w:szCs w:val="20"/>
          <w:lang w:val="nl-BE"/>
        </w:rPr>
        <w:t>R. RUGGIERO</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jc w:val="center"/>
        <w:rPr>
          <w:rFonts w:ascii="Verdana" w:hAnsi="Verdana"/>
          <w:color w:val="444444"/>
          <w:sz w:val="20"/>
          <w:szCs w:val="20"/>
          <w:lang w:val="nl-BE"/>
        </w:rPr>
      </w:pPr>
      <w:r w:rsidRPr="00047B3B">
        <w:rPr>
          <w:rFonts w:ascii="Verdana" w:hAnsi="Verdana"/>
          <w:color w:val="444444"/>
          <w:sz w:val="20"/>
          <w:szCs w:val="20"/>
          <w:lang w:val="nl-BE"/>
        </w:rPr>
        <w:t>--------</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Fonts w:ascii="Verdana" w:hAnsi="Verdana"/>
          <w:color w:val="444444"/>
          <w:sz w:val="20"/>
          <w:szCs w:val="20"/>
          <w:lang w:val="nl-BE"/>
        </w:rPr>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Nadruk"/>
          <w:rFonts w:ascii="Verdana" w:hAnsi="Verdana"/>
          <w:color w:val="444444"/>
          <w:sz w:val="20"/>
          <w:szCs w:val="20"/>
          <w:lang w:val="nl-BE"/>
        </w:rPr>
        <w:t>De bekrachtigingsinstrumenten werden te Brussel uitgewisseld op 14 juli 1989.</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Nadruk"/>
          <w:rFonts w:ascii="Verdana" w:hAnsi="Verdana"/>
          <w:color w:val="444444"/>
          <w:sz w:val="20"/>
          <w:szCs w:val="20"/>
          <w:lang w:val="nl-BE"/>
        </w:rPr>
        <w:lastRenderedPageBreak/>
        <w:t> </w:t>
      </w:r>
    </w:p>
    <w:p w:rsidR="00047B3B" w:rsidRPr="00047B3B" w:rsidRDefault="00047B3B" w:rsidP="00047B3B">
      <w:pPr>
        <w:pStyle w:val="Normaalweb"/>
        <w:shd w:val="clear" w:color="auto" w:fill="FFFFFF"/>
        <w:rPr>
          <w:rFonts w:ascii="Verdana" w:hAnsi="Verdana"/>
          <w:color w:val="444444"/>
          <w:sz w:val="20"/>
          <w:szCs w:val="20"/>
          <w:lang w:val="nl-BE"/>
        </w:rPr>
      </w:pPr>
      <w:r w:rsidRPr="00047B3B">
        <w:rPr>
          <w:rStyle w:val="Nadruk"/>
          <w:rFonts w:ascii="Verdana" w:hAnsi="Verdana"/>
          <w:color w:val="444444"/>
          <w:sz w:val="20"/>
          <w:szCs w:val="20"/>
          <w:lang w:val="nl-BE"/>
        </w:rPr>
        <w:t>De Overeenkomst, het Slotprotocol en het Aanvullend Protocol zijn in werking getreden op 29 juli 1989.</w:t>
      </w:r>
    </w:p>
    <w:p w:rsidR="000D364A" w:rsidRPr="00047B3B" w:rsidRDefault="000D364A" w:rsidP="00047B3B">
      <w:bookmarkStart w:id="0" w:name="_GoBack"/>
      <w:bookmarkEnd w:id="0"/>
    </w:p>
    <w:sectPr w:rsidR="000D364A" w:rsidRPr="00047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C1"/>
    <w:multiLevelType w:val="multilevel"/>
    <w:tmpl w:val="390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1B57"/>
    <w:multiLevelType w:val="multilevel"/>
    <w:tmpl w:val="0D1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76C0"/>
    <w:multiLevelType w:val="multilevel"/>
    <w:tmpl w:val="08E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E97"/>
    <w:multiLevelType w:val="multilevel"/>
    <w:tmpl w:val="E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444F"/>
    <w:multiLevelType w:val="multilevel"/>
    <w:tmpl w:val="98F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70109"/>
    <w:multiLevelType w:val="multilevel"/>
    <w:tmpl w:val="E9D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71A2"/>
    <w:multiLevelType w:val="multilevel"/>
    <w:tmpl w:val="472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1C9F"/>
    <w:multiLevelType w:val="multilevel"/>
    <w:tmpl w:val="6A1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966"/>
    <w:multiLevelType w:val="multilevel"/>
    <w:tmpl w:val="988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6F19"/>
    <w:multiLevelType w:val="multilevel"/>
    <w:tmpl w:val="D4F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49C3"/>
    <w:multiLevelType w:val="multilevel"/>
    <w:tmpl w:val="FA4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2124"/>
    <w:multiLevelType w:val="multilevel"/>
    <w:tmpl w:val="285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A226E"/>
    <w:multiLevelType w:val="multilevel"/>
    <w:tmpl w:val="01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176"/>
    <w:multiLevelType w:val="multilevel"/>
    <w:tmpl w:val="CFC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24EA"/>
    <w:multiLevelType w:val="multilevel"/>
    <w:tmpl w:val="C57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1C7"/>
    <w:multiLevelType w:val="multilevel"/>
    <w:tmpl w:val="DBE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A78CA"/>
    <w:multiLevelType w:val="multilevel"/>
    <w:tmpl w:val="7A0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57570"/>
    <w:multiLevelType w:val="multilevel"/>
    <w:tmpl w:val="418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00E65"/>
    <w:multiLevelType w:val="multilevel"/>
    <w:tmpl w:val="F70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448"/>
    <w:multiLevelType w:val="multilevel"/>
    <w:tmpl w:val="448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939"/>
    <w:multiLevelType w:val="multilevel"/>
    <w:tmpl w:val="B5B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4F8"/>
    <w:multiLevelType w:val="multilevel"/>
    <w:tmpl w:val="7E2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50EE0"/>
    <w:multiLevelType w:val="multilevel"/>
    <w:tmpl w:val="D3B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F6595"/>
    <w:multiLevelType w:val="multilevel"/>
    <w:tmpl w:val="8EF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B021C"/>
    <w:multiLevelType w:val="multilevel"/>
    <w:tmpl w:val="348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6394"/>
    <w:multiLevelType w:val="multilevel"/>
    <w:tmpl w:val="FE1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1035A"/>
    <w:multiLevelType w:val="multilevel"/>
    <w:tmpl w:val="7BD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04682"/>
    <w:multiLevelType w:val="multilevel"/>
    <w:tmpl w:val="505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A1179"/>
    <w:multiLevelType w:val="multilevel"/>
    <w:tmpl w:val="254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508F8"/>
    <w:multiLevelType w:val="multilevel"/>
    <w:tmpl w:val="7F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52C0A"/>
    <w:multiLevelType w:val="multilevel"/>
    <w:tmpl w:val="89C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2192"/>
    <w:multiLevelType w:val="multilevel"/>
    <w:tmpl w:val="39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7D30"/>
    <w:multiLevelType w:val="multilevel"/>
    <w:tmpl w:val="F42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F3E"/>
    <w:multiLevelType w:val="multilevel"/>
    <w:tmpl w:val="8CD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95D"/>
    <w:multiLevelType w:val="multilevel"/>
    <w:tmpl w:val="100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A4F54"/>
    <w:multiLevelType w:val="multilevel"/>
    <w:tmpl w:val="093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8"/>
  </w:num>
  <w:num w:numId="4">
    <w:abstractNumId w:val="13"/>
  </w:num>
  <w:num w:numId="5">
    <w:abstractNumId w:val="27"/>
  </w:num>
  <w:num w:numId="6">
    <w:abstractNumId w:val="42"/>
  </w:num>
  <w:num w:numId="7">
    <w:abstractNumId w:val="39"/>
  </w:num>
  <w:num w:numId="8">
    <w:abstractNumId w:val="11"/>
  </w:num>
  <w:num w:numId="9">
    <w:abstractNumId w:val="15"/>
  </w:num>
  <w:num w:numId="10">
    <w:abstractNumId w:val="30"/>
  </w:num>
  <w:num w:numId="11">
    <w:abstractNumId w:val="0"/>
  </w:num>
  <w:num w:numId="12">
    <w:abstractNumId w:val="21"/>
  </w:num>
  <w:num w:numId="13">
    <w:abstractNumId w:val="32"/>
  </w:num>
  <w:num w:numId="14">
    <w:abstractNumId w:val="34"/>
  </w:num>
  <w:num w:numId="15">
    <w:abstractNumId w:val="8"/>
  </w:num>
  <w:num w:numId="16">
    <w:abstractNumId w:val="1"/>
  </w:num>
  <w:num w:numId="17">
    <w:abstractNumId w:val="7"/>
  </w:num>
  <w:num w:numId="18">
    <w:abstractNumId w:val="16"/>
  </w:num>
  <w:num w:numId="19">
    <w:abstractNumId w:val="19"/>
  </w:num>
  <w:num w:numId="20">
    <w:abstractNumId w:val="6"/>
  </w:num>
  <w:num w:numId="21">
    <w:abstractNumId w:val="20"/>
  </w:num>
  <w:num w:numId="22">
    <w:abstractNumId w:val="25"/>
  </w:num>
  <w:num w:numId="23">
    <w:abstractNumId w:val="29"/>
  </w:num>
  <w:num w:numId="24">
    <w:abstractNumId w:val="5"/>
  </w:num>
  <w:num w:numId="25">
    <w:abstractNumId w:val="31"/>
  </w:num>
  <w:num w:numId="26">
    <w:abstractNumId w:val="24"/>
  </w:num>
  <w:num w:numId="27">
    <w:abstractNumId w:val="36"/>
  </w:num>
  <w:num w:numId="28">
    <w:abstractNumId w:val="12"/>
  </w:num>
  <w:num w:numId="29">
    <w:abstractNumId w:val="26"/>
  </w:num>
  <w:num w:numId="30">
    <w:abstractNumId w:val="22"/>
  </w:num>
  <w:num w:numId="31">
    <w:abstractNumId w:val="23"/>
  </w:num>
  <w:num w:numId="32">
    <w:abstractNumId w:val="38"/>
  </w:num>
  <w:num w:numId="33">
    <w:abstractNumId w:val="33"/>
  </w:num>
  <w:num w:numId="34">
    <w:abstractNumId w:val="17"/>
  </w:num>
  <w:num w:numId="35">
    <w:abstractNumId w:val="41"/>
  </w:num>
  <w:num w:numId="36">
    <w:abstractNumId w:val="37"/>
  </w:num>
  <w:num w:numId="37">
    <w:abstractNumId w:val="40"/>
  </w:num>
  <w:num w:numId="38">
    <w:abstractNumId w:val="14"/>
  </w:num>
  <w:num w:numId="39">
    <w:abstractNumId w:val="4"/>
  </w:num>
  <w:num w:numId="40">
    <w:abstractNumId w:val="10"/>
  </w:num>
  <w:num w:numId="41">
    <w:abstractNumId w:val="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47B3B"/>
    <w:rsid w:val="00086CD9"/>
    <w:rsid w:val="000D364A"/>
    <w:rsid w:val="0013241B"/>
    <w:rsid w:val="001750BC"/>
    <w:rsid w:val="001B5273"/>
    <w:rsid w:val="00240435"/>
    <w:rsid w:val="002B09C7"/>
    <w:rsid w:val="002D7EDF"/>
    <w:rsid w:val="00311270"/>
    <w:rsid w:val="0038651D"/>
    <w:rsid w:val="003971CC"/>
    <w:rsid w:val="004149DE"/>
    <w:rsid w:val="004603B8"/>
    <w:rsid w:val="00502859"/>
    <w:rsid w:val="0050499F"/>
    <w:rsid w:val="00523554"/>
    <w:rsid w:val="005F78D3"/>
    <w:rsid w:val="006D140B"/>
    <w:rsid w:val="006F549C"/>
    <w:rsid w:val="00750CCF"/>
    <w:rsid w:val="0077561D"/>
    <w:rsid w:val="00782D47"/>
    <w:rsid w:val="00825007"/>
    <w:rsid w:val="00835F0A"/>
    <w:rsid w:val="009433DB"/>
    <w:rsid w:val="009B59BE"/>
    <w:rsid w:val="00A16F24"/>
    <w:rsid w:val="00A64540"/>
    <w:rsid w:val="00AF5FA6"/>
    <w:rsid w:val="00B7585C"/>
    <w:rsid w:val="00BB74BB"/>
    <w:rsid w:val="00BD06F1"/>
    <w:rsid w:val="00C22C33"/>
    <w:rsid w:val="00C854AB"/>
    <w:rsid w:val="00D548C2"/>
    <w:rsid w:val="00D5754B"/>
    <w:rsid w:val="00E27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 w:type="paragraph" w:styleId="HTML-voorafopgemaakt">
    <w:name w:val="HTML Preformatted"/>
    <w:basedOn w:val="Standaard"/>
    <w:link w:val="HTML-voorafopgemaaktChar"/>
    <w:uiPriority w:val="99"/>
    <w:semiHidden/>
    <w:unhideWhenUsed/>
    <w:rsid w:val="0094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9433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56144934">
      <w:bodyDiv w:val="1"/>
      <w:marLeft w:val="0"/>
      <w:marRight w:val="0"/>
      <w:marTop w:val="0"/>
      <w:marBottom w:val="0"/>
      <w:divBdr>
        <w:top w:val="none" w:sz="0" w:space="0" w:color="auto"/>
        <w:left w:val="none" w:sz="0" w:space="0" w:color="auto"/>
        <w:bottom w:val="none" w:sz="0" w:space="0" w:color="auto"/>
        <w:right w:val="none" w:sz="0" w:space="0" w:color="auto"/>
      </w:divBdr>
      <w:divsChild>
        <w:div w:id="1655833321">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00335591">
      <w:bodyDiv w:val="1"/>
      <w:marLeft w:val="0"/>
      <w:marRight w:val="0"/>
      <w:marTop w:val="0"/>
      <w:marBottom w:val="0"/>
      <w:divBdr>
        <w:top w:val="none" w:sz="0" w:space="0" w:color="auto"/>
        <w:left w:val="none" w:sz="0" w:space="0" w:color="auto"/>
        <w:bottom w:val="none" w:sz="0" w:space="0" w:color="auto"/>
        <w:right w:val="none" w:sz="0" w:space="0" w:color="auto"/>
      </w:divBdr>
      <w:divsChild>
        <w:div w:id="38824255">
          <w:marLeft w:val="0"/>
          <w:marRight w:val="0"/>
          <w:marTop w:val="0"/>
          <w:marBottom w:val="0"/>
          <w:divBdr>
            <w:top w:val="none" w:sz="0" w:space="0" w:color="auto"/>
            <w:left w:val="none" w:sz="0" w:space="0" w:color="auto"/>
            <w:bottom w:val="none" w:sz="0" w:space="0" w:color="auto"/>
            <w:right w:val="none" w:sz="0" w:space="0" w:color="auto"/>
          </w:divBdr>
          <w:divsChild>
            <w:div w:id="162715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9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45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25751121">
      <w:bodyDiv w:val="1"/>
      <w:marLeft w:val="0"/>
      <w:marRight w:val="0"/>
      <w:marTop w:val="0"/>
      <w:marBottom w:val="0"/>
      <w:divBdr>
        <w:top w:val="none" w:sz="0" w:space="0" w:color="auto"/>
        <w:left w:val="none" w:sz="0" w:space="0" w:color="auto"/>
        <w:bottom w:val="none" w:sz="0" w:space="0" w:color="auto"/>
        <w:right w:val="none" w:sz="0" w:space="0" w:color="auto"/>
      </w:divBdr>
      <w:divsChild>
        <w:div w:id="283386511">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17613728">
      <w:bodyDiv w:val="1"/>
      <w:marLeft w:val="0"/>
      <w:marRight w:val="0"/>
      <w:marTop w:val="0"/>
      <w:marBottom w:val="0"/>
      <w:divBdr>
        <w:top w:val="none" w:sz="0" w:space="0" w:color="auto"/>
        <w:left w:val="none" w:sz="0" w:space="0" w:color="auto"/>
        <w:bottom w:val="none" w:sz="0" w:space="0" w:color="auto"/>
        <w:right w:val="none" w:sz="0" w:space="0" w:color="auto"/>
      </w:divBdr>
      <w:divsChild>
        <w:div w:id="155677132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2970</Characters>
  <Application>Microsoft Office Word</Application>
  <DocSecurity>0</DocSecurity>
  <Lines>57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2019-05-23T12:54:00Z</dcterms:created>
  <dcterms:modified xsi:type="dcterms:W3CDTF">2019-05-23T12:54:00Z</dcterms:modified>
</cp:coreProperties>
</file>