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29F" w:rsidRPr="0051329F" w:rsidRDefault="0051329F" w:rsidP="0051329F">
      <w:pPr>
        <w:pStyle w:val="Kop1"/>
        <w:shd w:val="clear" w:color="auto" w:fill="FFFFFF"/>
        <w:rPr>
          <w:rFonts w:ascii="Verdana" w:hAnsi="Verdana"/>
          <w:b w:val="0"/>
          <w:bCs w:val="0"/>
          <w:color w:val="777777"/>
          <w:sz w:val="55"/>
          <w:szCs w:val="55"/>
          <w:lang w:val="nl-BE"/>
        </w:rPr>
      </w:pPr>
      <w:r w:rsidRPr="0051329F">
        <w:rPr>
          <w:rFonts w:ascii="Verdana" w:hAnsi="Verdana"/>
          <w:b w:val="0"/>
          <w:bCs w:val="0"/>
          <w:color w:val="777777"/>
          <w:sz w:val="55"/>
          <w:szCs w:val="55"/>
          <w:lang w:val="nl-BE"/>
        </w:rPr>
        <w:t>Frankrijk (Avenant van 12.12.2008)</w:t>
      </w:r>
    </w:p>
    <w:p w:rsidR="0051329F" w:rsidRDefault="0051329F" w:rsidP="0051329F">
      <w:pPr>
        <w:rPr>
          <w:rFonts w:ascii="Times New Roman" w:hAnsi="Times New Roman"/>
          <w:sz w:val="24"/>
          <w:szCs w:val="24"/>
        </w:rPr>
      </w:pPr>
      <w:r>
        <w:rPr>
          <w:rFonts w:ascii="Verdana" w:hAnsi="Verdana"/>
          <w:color w:val="444444"/>
          <w:sz w:val="20"/>
          <w:szCs w:val="20"/>
        </w:rPr>
        <w:br/>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 </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Style w:val="Zwaar"/>
          <w:rFonts w:ascii="Verdana" w:hAnsi="Verdana"/>
          <w:color w:val="444444"/>
          <w:sz w:val="20"/>
          <w:szCs w:val="20"/>
          <w:lang w:val="nl-BE"/>
        </w:rPr>
        <w:t>Frankrijk (Avenant van 12.12.2008)</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 </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Style w:val="Nadruk"/>
          <w:rFonts w:ascii="Verdana" w:hAnsi="Verdana"/>
          <w:b/>
          <w:bCs/>
          <w:color w:val="444444"/>
          <w:sz w:val="20"/>
          <w:szCs w:val="20"/>
          <w:lang w:val="nl-BE"/>
        </w:rPr>
        <w:t>Avenant bij de Overeenkomst tussen België en Frankrijk tot voorkoming van dubbele belasting en tot regeling van wederzijdse administratieve en juridische bijstand inzake inkomstenbelastingen, ondertekend te Brussel op 10 maart 1964 en gewijzigd door de Avenanten van 15 februari 1971 en 8 februari 1999</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51329F" w:rsidTr="0051329F">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51329F" w:rsidRPr="0051329F" w:rsidRDefault="0051329F">
            <w:pPr>
              <w:pStyle w:val="Normaalweb"/>
              <w:rPr>
                <w:lang w:val="nl-BE"/>
              </w:rPr>
            </w:pPr>
            <w:r w:rsidRPr="0051329F">
              <w:rPr>
                <w:rStyle w:val="Zwaar"/>
                <w:lang w:val="nl-BE"/>
              </w:rPr>
              <w:t>Avenant</w:t>
            </w:r>
            <w:r w:rsidRPr="0051329F">
              <w:rPr>
                <w:lang w:val="nl-BE"/>
              </w:rPr>
              <w:t> ondertekend op 12.12.2008</w:t>
            </w:r>
          </w:p>
          <w:p w:rsidR="0051329F" w:rsidRPr="0051329F" w:rsidRDefault="0051329F">
            <w:pPr>
              <w:pStyle w:val="Normaalweb"/>
              <w:rPr>
                <w:lang w:val="nl-BE"/>
              </w:rPr>
            </w:pPr>
            <w:r w:rsidRPr="0051329F">
              <w:rPr>
                <w:lang w:val="nl-BE"/>
              </w:rPr>
              <w:t>Goedkeuringswet: 07.05.2009</w:t>
            </w:r>
          </w:p>
          <w:p w:rsidR="0051329F" w:rsidRPr="0051329F" w:rsidRDefault="0051329F">
            <w:pPr>
              <w:pStyle w:val="Normaalweb"/>
              <w:rPr>
                <w:lang w:val="nl-BE"/>
              </w:rPr>
            </w:pPr>
            <w:r w:rsidRPr="0051329F">
              <w:rPr>
                <w:lang w:val="nl-BE"/>
              </w:rPr>
              <w:t>Verschenen in Belgisch Staatsblad: 12.12.2008</w:t>
            </w:r>
          </w:p>
          <w:p w:rsidR="0051329F" w:rsidRDefault="0051329F">
            <w:pPr>
              <w:pStyle w:val="Normaalweb"/>
            </w:pPr>
            <w:r>
              <w:t>In werking getreden op 17.12.2009</w:t>
            </w:r>
          </w:p>
        </w:tc>
      </w:tr>
      <w:tr w:rsidR="0051329F" w:rsidTr="0051329F">
        <w:trPr>
          <w:tblCellSpacing w:w="0" w:type="dxa"/>
        </w:trPr>
        <w:tc>
          <w:tcPr>
            <w:tcW w:w="9075" w:type="dxa"/>
            <w:tcBorders>
              <w:top w:val="outset" w:sz="6" w:space="0" w:color="auto"/>
              <w:left w:val="outset" w:sz="6" w:space="0" w:color="auto"/>
              <w:bottom w:val="outset" w:sz="6" w:space="0" w:color="auto"/>
              <w:right w:val="outset" w:sz="6" w:space="0" w:color="auto"/>
            </w:tcBorders>
            <w:hideMark/>
          </w:tcPr>
          <w:p w:rsidR="0051329F" w:rsidRPr="0051329F" w:rsidRDefault="0051329F">
            <w:pPr>
              <w:pStyle w:val="Normaalweb"/>
              <w:rPr>
                <w:lang w:val="nl-BE"/>
              </w:rPr>
            </w:pPr>
            <w:hyperlink r:id="rId5" w:history="1">
              <w:r w:rsidRPr="0051329F">
                <w:rPr>
                  <w:rStyle w:val="Hyperlink"/>
                  <w:color w:val="663399"/>
                  <w:lang w:val="nl-BE"/>
                </w:rPr>
                <w:t>http://www.senate.be/www/webdriver?MItabObj=pdf&amp;MIcolObj=pdf&amp;MInamObj=pdfid&amp;MItypeObj=application/pdf&amp;MIvalObj=67110720</w:t>
              </w:r>
            </w:hyperlink>
          </w:p>
        </w:tc>
      </w:tr>
    </w:tbl>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 </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Style w:val="Zwaar"/>
          <w:rFonts w:ascii="Verdana" w:hAnsi="Verdana"/>
          <w:color w:val="444444"/>
          <w:sz w:val="20"/>
          <w:szCs w:val="20"/>
          <w:lang w:val="nl-BE"/>
        </w:rPr>
        <w:t>Artikel 1</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 </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Artikel 11, paragraaf 2 c), van de Overeenkomst wordt vervangen door de volgende bepalingen :</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 </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 c) De bepalingen van de paragrafen 1 en 2, a) en b), zijn van toepassing onder voorbehoud van de bepalingen van het aanvullend Protocol inzake grensarbeiders. »</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 </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Style w:val="Zwaar"/>
          <w:rFonts w:ascii="Verdana" w:hAnsi="Verdana"/>
          <w:color w:val="444444"/>
          <w:sz w:val="20"/>
          <w:szCs w:val="20"/>
          <w:lang w:val="nl-BE"/>
        </w:rPr>
        <w:t>Artikel 2</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 </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lastRenderedPageBreak/>
        <w:t>Aan de Overeenkomst wordt een « aanvullend Protocol inzake grensarbeiders » toegevoegd, luidend als volgt :</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 </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 1. Salarissen, lonen en andere soortgelijke bezoldigingen, verkregen door een inwoner van een overeenkomstsluitende Staat die zijn werkzaamheid uitoefent in de grensstreek van de andere overeenkomstsluitende Staat en die uitsluitend in de grensstreek van de eerstgenoemde Staat een duurzaam tehuis heeft, zijn slechts in die Staat belastbaar.</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2. Voor de toepassing van dit Protocol omvat de grensstreek van elke overeenkomstsluitende Staat alle gemeenten die gelegen zijn in de streek die wordt begrensd door de gemeenschappelijke grens van de overeenkomstsluitende Staten en een lijn getrokken op een afstand van twintig kilometer van die grens, met dien verstande dat de gemeenten die door deze lijn worden doorsneden in de grensstreek worden opgenomen. Alle andere gemeenten die, voor de toepassing van artikel 11, paragraaf 2, c), van de Overeenkomst die op 1 januari 1999 van kracht was, beschouwd werden als zijnde gelegen in de grensstreek van elke overeenkomstsluitende Staat, worden eveneens geacht begrepen te zijn in de Franse of de Belgische grensstreek, naargelang het geval.</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3. Bezoldigingen die vanaf 1 januari 2007 worden verkregen ter zake van een binnen de Franse grensstreek uitgeoefende werkzaamheid in loondienst door personen die hun duurzaam tehuis in de Belgische grensstreek hebben, zijn, in afwijking van paragraaf 1, belastbaar onder de voorwaarden waarin is voorzien in artikel 11, paragrafen 1 en 2, a) en b), van de Overeenkomst.</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4.</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a) Het stelsel dat is bepaald in paragraaf 1, is van toepassing op bezoldigingen die in de loop van de jaren 2003 tot 2008 worden ontvangen door werknemers die hun duurzaam tehuis in de Franse grensstreek hebben en die hun werkzaamheid in loondienst niet meer dan 45 dagen per kalenderjaar buiten de Belgische grensstreek uitoefenen.</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Een deel van de dag dat de grensstreek wordt verlaten, zal geteld worden als een volledige dag.</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De trajecten die de werknemer buiten de grensstreek aflegt in het kader van een transportwerkzaamheid zullen niet opgenomen worden in het totaal van de dagen, voor zover de totale afstand die buiten de grensstreek wordt afgelegd niet meer bedraagt dan een kwart van de totale afstand die noodzakelijkerwijze wordt afgelegd voor de uitoefening van deze werkzaamheid.</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b) Het stelsel dat is bepaald in paragraaf 1, is van toepassing op bezoldigingen die in de loop van de jaren 2009 tot 2011 worden ontvangen door werknemers die hun duurzaam tehuis in de Franse grensstreek hebben en die hun werkzaamheid in loondienst niet meer dan 30 dagen per kalenderjaar buiten de Belgische grensstreek uitoefenen.</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Het stelsel is niet van toepassing op werknemers die op 31 december 2008 hun duurzaam tehuis in België hebben.</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 xml:space="preserve">5. Het stelsel dat is bepaald in paragraaf 1, is van toepassing op bezoldigingen die in de loop van een periode van 22 jaar, die aanvangt op 1 januari 2012, worden ontvangen uitsluitend door werknemers die op 31 december 2011 hun duurzaam tehuis in de Franse </w:t>
      </w:r>
      <w:r w:rsidRPr="0051329F">
        <w:rPr>
          <w:rFonts w:ascii="Verdana" w:hAnsi="Verdana"/>
          <w:color w:val="444444"/>
          <w:sz w:val="20"/>
          <w:szCs w:val="20"/>
          <w:lang w:val="nl-BE"/>
        </w:rPr>
        <w:lastRenderedPageBreak/>
        <w:t>grensstreek hebben en hun werkzaamheid in loondienst uitoefenen binnen de Belgische grensstreek, onder voorbehoud dat deze laatsten :</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a) hun duurzaam tehuis in de Franse grensstreek behouden;</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b) de uitoefening van hun werkzaamheid in loondienst in de Belgische grensstreek voortzetten;</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c) in de uitoefening van hun werkzaamheid niet meer dan 30 dagen per kalenderjaar de Belgische grensstreek verlaten.</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Het niet-naleven van één van deze voorwaarden leidt tot het definitieve verlies van het voordeel van het stelsel. Indien de grensarbeider echter een eerste maal de in punt c) van deze paragraaf bedoelde voorwaarde niet vervult, verliest hij het voordeel van het stelsel enkel voor het betrokken jaar.</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Tijdens afwezigheden voortvloeiend uit omstandigheden zoals ziekte, ongeval, betaald educatief verlof, vakantie of werkloosheid, wordt de uitoefening van de werkzaamheid in loondienst in de Belgische grensstreek beschouwd als zijnde voortgezet in de zin van punt b).</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De bepalingen van deze paragraaf zijn van toepassing op werknemers die hun duurzaam tehuis in de Franse grensstreek hebben maar op 31 december 2011 hun betrekking in de Belgische grensstreek hebben verloren en die aantonen dat ze in de loop van 2011 hun werkzaamheid gedurende 3 maanden in deze laatste grensstreek hebben uitgeoefend.</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Het stelsel is niet van toepassing op werknemers die op 31 december 2008 hun duurzaam tehuis in België hebben.</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6. Een werknemer die zijn duurzaam tehuis in de Franse grensstreek heeft en die in de Belgische grensstreek een werkzaamheid in loondienst uitoefent waarvan de tijdsduur is beperkt tot een deel van het jaar, hetzij wegens het seizoensgebonden karakter van het werk, hetzij omdat de bezoldigde werknemer voor een bepaalde periode van het jaar is aangeworven als aanvullend personeelslid (uitzendkrachten), wordt gekwalificeerd als « seizoensgrensarbeider ». Die tijdsduur mag niet meer bedragen dan 90 gepresteerde dagen per kalenderjaar.</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De bezoldigingen die tot en met 31 december 2033 worden ontvangen door seizoensgrensarbeiders, genieten het voordeel van het in paragraaf 1 bedoelde stelsel, onder de voorwaarden die zijn vermeld in de paragrafen 2 en 7, mits het aantal dagen dat de Belgische grensstreek wordt verlaten niet meer bedraagt dan 15 % van het aantal gepresteerde dagen gedurende het beschouwde jaar.</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7. De telling van de dagen dat de grensstreek wordt verlaten, zoals beoogd in de paragrafen 4, b), 5 en 6, gebeurt overeenkomstig de volgende principes :</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a) een deel van de dag dat de grensstreek wordt verlaten, zal geteld worden als een volledige dag.</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b) de volgende gevallen waarin de grensstreek wordt verlaten, zullen niet opgenomen worden in het totaal van de dagen :</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(i) de gevallen van overmacht, buiten de wil van de werkgever en de werknemer;</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lastRenderedPageBreak/>
        <w:t>(ii) de incidentele doorreis in België buiten de grensstreek om zich naar een plaats binnen de Belgische grensstreek of buiten België te begeven;</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(iii) werkzaamheden inherent aan de functie van vakbondsafgevaardigde;</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(iv) het deelnemen aan een comité voor preventie en bescherming op het werk, of aan een paritair comité of het bijwonen van een vergadering van de werkgeversfederatie;</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(v) het deelnemen aan een ondernemingsraad;</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(vi) het bijwonen van een personeelsfeest;</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(vii) doktersbezoeken;</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(viii) de grensstreek verlaten voor beroepsopleiding, beperkt tot 5 werkdagen per kalenderjaar;</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(ix) de trajecten die de werknemer buiten de grensstreek aflegt in het kader van een transportwerkzaamheid, voor zover de totale afstand die buiten de grensstreek wordt afgelegd niet meer bedraagt dan een kwart van de totale afstand die noodzakelijkerwijze wordt afgelegd voor de uitoefening van deze werkzaamheid.</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8. Indien de voorgaande bepalingen van dit Protocol niet van toepassing zijn, zijn de bezoldigingen die een inwoner van Frankrijk ontvangt ter zake van een werkzaamheid in loondienst uitgeoefend binnen de Belgische grensstreek, belastbaar overeenkomstig de bepalingen van artikel 11, paragrafen 1 en 2, a) en b), van de Overeenkomst.</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De bepalingen van dit Protocol zijn niet van toepassing op de bezoldigingen zoals bedoeld in artikel 9 van de Overeenkomst.</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9. Voor de toepassing van de paragrafen 4, b), 5 en 6 van dit Protocol moet een werkgever, die inwoner is van België of in België over een inrichting beschikt en die gebruik maakt of gebruik heeft gemaakt van de diensten van een inwoner van Frankrijk die in aanmerking komt om de voordelen van het in paragraaf 1 bedoelde stelsel te genieten, in de loop van de maand maart van elk kalenderjaar, en zulks ten vroegste in maart 2010, bevestigen dat die inwoner van Frankrijk in de loop van het voorgaande kalenderjaar, en onder voorbehoud van de in paragrafen 5 en 7 bedoelde uitzonderingen, zijn werkzaamheid in loondienst gedurende niet meer dan 30 dagen buiten de Belgische grensstreek heeft uitgeoefend of gedurende niet meer dan 15 % van het aantal gepresteerde dagen indien het een seizoensgrensarbeider betreft.</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De bevoegde autoriteiten van de overeenkomstsluitende Staten stellen de toepassingsregels van het huidig Protocol vast en bepalen welke bewijsstukken nodig zijn voor de toepassing ervan. »</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 </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Style w:val="Zwaar"/>
          <w:rFonts w:ascii="Verdana" w:hAnsi="Verdana"/>
          <w:color w:val="444444"/>
          <w:sz w:val="20"/>
          <w:szCs w:val="20"/>
          <w:lang w:val="nl-BE"/>
        </w:rPr>
        <w:t>Artikel 3</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 </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In het Slotprotocol van 10 maart 1964 wordt na het punt 6 een punt 7 toegevoegd dat als volgt luidt :</w:t>
      </w:r>
    </w:p>
    <w:p w:rsidR="0051329F" w:rsidRPr="0051329F" w:rsidRDefault="0051329F" w:rsidP="0051329F">
      <w:pPr>
        <w:pStyle w:val="Normaalweb"/>
        <w:shd w:val="clear" w:color="auto" w:fill="FFFFFF"/>
        <w:rPr>
          <w:rFonts w:ascii="Verdana" w:hAnsi="Verdana"/>
          <w:color w:val="444444"/>
          <w:sz w:val="20"/>
          <w:szCs w:val="20"/>
          <w:lang w:val="nl-BE"/>
        </w:rPr>
      </w:pPr>
      <w:r w:rsidRPr="0051329F">
        <w:rPr>
          <w:rFonts w:ascii="Verdana" w:hAnsi="Verdana"/>
          <w:color w:val="444444"/>
          <w:sz w:val="20"/>
          <w:szCs w:val="20"/>
          <w:lang w:val="nl-BE"/>
        </w:rPr>
        <w:t> </w:t>
      </w:r>
    </w:p>
    <w:p w:rsidR="0051329F" w:rsidRDefault="0051329F" w:rsidP="0051329F">
      <w:pPr>
        <w:pStyle w:val="Normaalweb"/>
        <w:shd w:val="clear" w:color="auto" w:fill="FFFFFF"/>
        <w:rPr>
          <w:rFonts w:ascii="Verdana" w:hAnsi="Verdana"/>
          <w:color w:val="444444"/>
          <w:sz w:val="20"/>
          <w:szCs w:val="20"/>
        </w:rPr>
      </w:pPr>
      <w:r w:rsidRPr="0051329F">
        <w:rPr>
          <w:rFonts w:ascii="Verdana" w:hAnsi="Verdana"/>
          <w:color w:val="444444"/>
          <w:sz w:val="20"/>
          <w:szCs w:val="20"/>
          <w:lang w:val="nl-BE"/>
        </w:rPr>
        <w:lastRenderedPageBreak/>
        <w:t xml:space="preserve">« 7. Voor het vaststellen van de aanvullende belastingen die worden gevestigd door de Belgische gemeenten en agglomeraties, houdt België, niettegenstaande elke andere bepaling van de Overeenkomst en van het Aanvullend Protocol inzake grensarbeiders, rekening met de beroepsinkomsten die in België vrijgesteld zijn van belasting volgens de Overeenkomst en dit Protocol. Die aanvullende belastingen worden berekend op de belasting die verschuldigd zou zijn in België indien de desbetreffende beroepsinkomsten van Belgische oorsprong zouden zijn. </w:t>
      </w:r>
      <w:r>
        <w:rPr>
          <w:rFonts w:ascii="Verdana" w:hAnsi="Verdana"/>
          <w:color w:val="444444"/>
          <w:sz w:val="20"/>
          <w:szCs w:val="20"/>
        </w:rPr>
        <w:t>Deze bepaling is van toepassing vanaf 1 januari 2009 ».</w:t>
      </w:r>
    </w:p>
    <w:p w:rsidR="0051329F" w:rsidRDefault="0051329F" w:rsidP="0051329F">
      <w:pPr>
        <w:pStyle w:val="Normaalweb"/>
        <w:shd w:val="clear" w:color="auto" w:fill="FFFFFF"/>
        <w:rPr>
          <w:rFonts w:ascii="Verdana" w:hAnsi="Verdana"/>
          <w:color w:val="444444"/>
          <w:sz w:val="20"/>
          <w:szCs w:val="20"/>
        </w:rPr>
      </w:pPr>
      <w:r>
        <w:rPr>
          <w:rFonts w:ascii="Verdana" w:hAnsi="Verdana"/>
          <w:color w:val="444444"/>
          <w:sz w:val="20"/>
          <w:szCs w:val="20"/>
        </w:rPr>
        <w:t> </w:t>
      </w:r>
    </w:p>
    <w:p w:rsidR="0051329F" w:rsidRDefault="0051329F" w:rsidP="0051329F">
      <w:pPr>
        <w:pStyle w:val="Normaalweb"/>
        <w:shd w:val="clear" w:color="auto" w:fill="FFFFFF"/>
        <w:rPr>
          <w:rFonts w:ascii="Verdana" w:hAnsi="Verdana"/>
          <w:color w:val="444444"/>
          <w:sz w:val="20"/>
          <w:szCs w:val="20"/>
        </w:rPr>
      </w:pPr>
      <w:r>
        <w:rPr>
          <w:rStyle w:val="Zwaar"/>
          <w:rFonts w:ascii="Verdana" w:hAnsi="Verdana"/>
          <w:color w:val="444444"/>
          <w:sz w:val="20"/>
          <w:szCs w:val="20"/>
        </w:rPr>
        <w:t>Artikel 4</w:t>
      </w:r>
    </w:p>
    <w:p w:rsidR="0051329F" w:rsidRDefault="0051329F" w:rsidP="0051329F">
      <w:pPr>
        <w:pStyle w:val="Normaalweb"/>
        <w:shd w:val="clear" w:color="auto" w:fill="FFFFFF"/>
        <w:rPr>
          <w:rFonts w:ascii="Verdana" w:hAnsi="Verdana"/>
          <w:color w:val="444444"/>
          <w:sz w:val="20"/>
          <w:szCs w:val="20"/>
        </w:rPr>
      </w:pPr>
      <w:r>
        <w:rPr>
          <w:rFonts w:ascii="Verdana" w:hAnsi="Verdana"/>
          <w:color w:val="444444"/>
          <w:sz w:val="20"/>
          <w:szCs w:val="20"/>
        </w:rPr>
        <w:t> </w:t>
      </w:r>
    </w:p>
    <w:p w:rsidR="0051329F" w:rsidRDefault="0051329F" w:rsidP="0051329F">
      <w:pPr>
        <w:pStyle w:val="Normaalweb"/>
        <w:shd w:val="clear" w:color="auto" w:fill="FFFFFF"/>
        <w:rPr>
          <w:rFonts w:ascii="Verdana" w:hAnsi="Verdana"/>
          <w:color w:val="444444"/>
          <w:sz w:val="20"/>
          <w:szCs w:val="20"/>
        </w:rPr>
      </w:pPr>
      <w:r>
        <w:rPr>
          <w:rFonts w:ascii="Verdana" w:hAnsi="Verdana"/>
          <w:color w:val="444444"/>
          <w:sz w:val="20"/>
          <w:szCs w:val="20"/>
        </w:rPr>
        <w:t>Frankrijk zal elk kalenderjaar een bedrag van 25 miljoen euro storten als compensatie voor de inkomsten die België moet derven door de toepassing van paragraaf 5 van het aanvullend Protocol inzake grensarbeiders. De eerste storting wordt uitgevoerd op het einde van het jaar 2012.</w:t>
      </w:r>
    </w:p>
    <w:p w:rsidR="0051329F" w:rsidRDefault="0051329F" w:rsidP="0051329F">
      <w:pPr>
        <w:pStyle w:val="Normaalweb"/>
        <w:shd w:val="clear" w:color="auto" w:fill="FFFFFF"/>
        <w:rPr>
          <w:rFonts w:ascii="Verdana" w:hAnsi="Verdana"/>
          <w:color w:val="444444"/>
          <w:sz w:val="20"/>
          <w:szCs w:val="20"/>
        </w:rPr>
      </w:pPr>
      <w:r>
        <w:rPr>
          <w:rFonts w:ascii="Verdana" w:hAnsi="Verdana"/>
          <w:color w:val="444444"/>
          <w:sz w:val="20"/>
          <w:szCs w:val="20"/>
        </w:rPr>
        <w:t>Om de drie jaar vanaf de eerste storting, zal dit bedrag worden gewijzigd, beperkt tot maximum 25 miljoen euro, op basis van de evolutie van het totale bedrag van de brutobezoldigingen ontvangen door de grensarbeiders, volgens de volgende formule :</w:t>
      </w:r>
    </w:p>
    <w:p w:rsidR="0051329F" w:rsidRDefault="0051329F" w:rsidP="0051329F">
      <w:pPr>
        <w:pStyle w:val="Normaalweb"/>
        <w:shd w:val="clear" w:color="auto" w:fill="FFFFFF"/>
        <w:rPr>
          <w:rFonts w:ascii="Verdana" w:hAnsi="Verdana"/>
          <w:color w:val="444444"/>
          <w:sz w:val="20"/>
          <w:szCs w:val="20"/>
        </w:rPr>
      </w:pPr>
      <w:r>
        <w:rPr>
          <w:rFonts w:ascii="Verdana" w:hAnsi="Verdana"/>
          <w:color w:val="444444"/>
          <w:sz w:val="20"/>
          <w:szCs w:val="20"/>
        </w:rPr>
        <w:t>- indien het totale bedrag van de brutobezoldigingen ontvangen in het jaar n lager is dan het totale bedrag van de in 2011 ontvangen brutobezoldigingen, zal het gestorte bedrag voor de jaren n+1 tot n+3 op de volgende manier berekend worden :</w:t>
      </w:r>
    </w:p>
    <w:p w:rsidR="0051329F" w:rsidRDefault="0051329F" w:rsidP="0051329F">
      <w:pPr>
        <w:pStyle w:val="Normaalweb"/>
        <w:shd w:val="clear" w:color="auto" w:fill="FFFFFF"/>
        <w:rPr>
          <w:rFonts w:ascii="Verdana" w:hAnsi="Verdana"/>
          <w:color w:val="444444"/>
          <w:sz w:val="20"/>
          <w:szCs w:val="20"/>
        </w:rPr>
      </w:pPr>
      <w:r>
        <w:rPr>
          <w:rFonts w:ascii="Verdana" w:hAnsi="Verdana"/>
          <w:color w:val="444444"/>
          <w:sz w:val="20"/>
          <w:szCs w:val="20"/>
        </w:rPr>
        <w:t>25 miljoen euro x totale bedrag van de in het jaar n ontvangen brutobezoldigingen 2/totale bedrag van de in 2011 ontvangen brutobezoldigingen.</w:t>
      </w:r>
    </w:p>
    <w:p w:rsidR="0051329F" w:rsidRDefault="0051329F" w:rsidP="0051329F">
      <w:pPr>
        <w:pStyle w:val="Normaalweb"/>
        <w:shd w:val="clear" w:color="auto" w:fill="FFFFFF"/>
        <w:rPr>
          <w:rFonts w:ascii="Verdana" w:hAnsi="Verdana"/>
          <w:color w:val="444444"/>
          <w:sz w:val="20"/>
          <w:szCs w:val="20"/>
        </w:rPr>
      </w:pPr>
      <w:r>
        <w:rPr>
          <w:rFonts w:ascii="Verdana" w:hAnsi="Verdana"/>
          <w:color w:val="444444"/>
          <w:sz w:val="20"/>
          <w:szCs w:val="20"/>
        </w:rPr>
        <w:t>- indien het totale bedrag van de in het jaar n ontvangen brutobezoldigingen hoger is dan of gelijk is aan het totale bedrag van de in 2011 ontvangen brutobezoldigingen, zal het gestorte bedrag voor de jaren n+1 tot n+3, 25 miljoen euro bedragen.</w:t>
      </w:r>
    </w:p>
    <w:p w:rsidR="0051329F" w:rsidRDefault="0051329F" w:rsidP="0051329F">
      <w:pPr>
        <w:pStyle w:val="Normaalweb"/>
        <w:shd w:val="clear" w:color="auto" w:fill="FFFFFF"/>
        <w:rPr>
          <w:rFonts w:ascii="Verdana" w:hAnsi="Verdana"/>
          <w:color w:val="444444"/>
          <w:sz w:val="20"/>
          <w:szCs w:val="20"/>
        </w:rPr>
      </w:pPr>
      <w:r>
        <w:rPr>
          <w:rFonts w:ascii="Verdana" w:hAnsi="Verdana"/>
          <w:color w:val="444444"/>
          <w:sz w:val="20"/>
          <w:szCs w:val="20"/>
        </w:rPr>
        <w:t>Onder brutobezoldigingen wordt verstaan de belastbare bezoldigingen na aftrek van de socialezekerheidsbijdragen.</w:t>
      </w:r>
    </w:p>
    <w:p w:rsidR="0051329F" w:rsidRDefault="0051329F" w:rsidP="0051329F">
      <w:pPr>
        <w:pStyle w:val="Normaalweb"/>
        <w:shd w:val="clear" w:color="auto" w:fill="FFFFFF"/>
        <w:rPr>
          <w:rFonts w:ascii="Verdana" w:hAnsi="Verdana"/>
          <w:color w:val="444444"/>
          <w:sz w:val="20"/>
          <w:szCs w:val="20"/>
        </w:rPr>
      </w:pPr>
      <w:r>
        <w:rPr>
          <w:rFonts w:ascii="Verdana" w:hAnsi="Verdana"/>
          <w:color w:val="444444"/>
          <w:sz w:val="20"/>
          <w:szCs w:val="20"/>
        </w:rPr>
        <w:t> </w:t>
      </w:r>
    </w:p>
    <w:p w:rsidR="0051329F" w:rsidRDefault="0051329F" w:rsidP="0051329F">
      <w:pPr>
        <w:pStyle w:val="Normaalweb"/>
        <w:shd w:val="clear" w:color="auto" w:fill="FFFFFF"/>
        <w:rPr>
          <w:rFonts w:ascii="Verdana" w:hAnsi="Verdana"/>
          <w:color w:val="444444"/>
          <w:sz w:val="20"/>
          <w:szCs w:val="20"/>
        </w:rPr>
      </w:pPr>
      <w:r>
        <w:rPr>
          <w:rStyle w:val="Zwaar"/>
          <w:rFonts w:ascii="Verdana" w:hAnsi="Verdana"/>
          <w:color w:val="444444"/>
          <w:sz w:val="20"/>
          <w:szCs w:val="20"/>
        </w:rPr>
        <w:t>Artikel 5</w:t>
      </w:r>
    </w:p>
    <w:p w:rsidR="0051329F" w:rsidRDefault="0051329F" w:rsidP="0051329F">
      <w:pPr>
        <w:pStyle w:val="Normaalweb"/>
        <w:shd w:val="clear" w:color="auto" w:fill="FFFFFF"/>
        <w:rPr>
          <w:rFonts w:ascii="Verdana" w:hAnsi="Verdana"/>
          <w:color w:val="444444"/>
          <w:sz w:val="20"/>
          <w:szCs w:val="20"/>
        </w:rPr>
      </w:pPr>
      <w:r>
        <w:rPr>
          <w:rFonts w:ascii="Verdana" w:hAnsi="Verdana"/>
          <w:color w:val="444444"/>
          <w:sz w:val="20"/>
          <w:szCs w:val="20"/>
        </w:rPr>
        <w:t> </w:t>
      </w:r>
    </w:p>
    <w:p w:rsidR="0051329F" w:rsidRDefault="0051329F" w:rsidP="0051329F">
      <w:pPr>
        <w:pStyle w:val="Normaalweb"/>
        <w:shd w:val="clear" w:color="auto" w:fill="FFFFFF"/>
        <w:rPr>
          <w:rFonts w:ascii="Verdana" w:hAnsi="Verdana"/>
          <w:color w:val="444444"/>
          <w:sz w:val="20"/>
          <w:szCs w:val="20"/>
        </w:rPr>
      </w:pPr>
      <w:r>
        <w:rPr>
          <w:rFonts w:ascii="Verdana" w:hAnsi="Verdana"/>
          <w:color w:val="444444"/>
          <w:sz w:val="20"/>
          <w:szCs w:val="20"/>
        </w:rPr>
        <w:t>Elk van de overeenkomstsluitende Staten zal de andere overeenkomstsluitende Staat in kennis stellen van de voltooiing van de procedures die door zijn wetgeving voor de inwerkingtreding van het huidig Avenant zijn vereist. Dit Avenant zal in werking treden op de dag waarop de tweede kennisgeving wordt ontvangen.</w:t>
      </w:r>
    </w:p>
    <w:p w:rsidR="0051329F" w:rsidRDefault="0051329F" w:rsidP="0051329F">
      <w:pPr>
        <w:pStyle w:val="Normaalweb"/>
        <w:shd w:val="clear" w:color="auto" w:fill="FFFFFF"/>
        <w:rPr>
          <w:rFonts w:ascii="Verdana" w:hAnsi="Verdana"/>
          <w:color w:val="444444"/>
          <w:sz w:val="20"/>
          <w:szCs w:val="20"/>
        </w:rPr>
      </w:pPr>
      <w:r>
        <w:rPr>
          <w:rFonts w:ascii="Verdana" w:hAnsi="Verdana"/>
          <w:color w:val="444444"/>
          <w:sz w:val="20"/>
          <w:szCs w:val="20"/>
        </w:rPr>
        <w:t> </w:t>
      </w:r>
    </w:p>
    <w:p w:rsidR="0051329F" w:rsidRDefault="0051329F" w:rsidP="0051329F">
      <w:pPr>
        <w:pStyle w:val="Normaalweb"/>
        <w:shd w:val="clear" w:color="auto" w:fill="FFFFFF"/>
        <w:rPr>
          <w:rFonts w:ascii="Verdana" w:hAnsi="Verdana"/>
          <w:color w:val="444444"/>
          <w:sz w:val="20"/>
          <w:szCs w:val="20"/>
        </w:rPr>
      </w:pPr>
      <w:r>
        <w:rPr>
          <w:rFonts w:ascii="Verdana" w:hAnsi="Verdana"/>
          <w:color w:val="444444"/>
          <w:sz w:val="20"/>
          <w:szCs w:val="20"/>
        </w:rPr>
        <w:t>Ten blijke waarvan, de ondergetekenden, daartoe behoorlijk gevolmachtigd, dit Avenant hebben ondertekend.</w:t>
      </w:r>
    </w:p>
    <w:p w:rsidR="0051329F" w:rsidRDefault="0051329F" w:rsidP="0051329F">
      <w:pPr>
        <w:pStyle w:val="Normaalweb"/>
        <w:shd w:val="clear" w:color="auto" w:fill="FFFFFF"/>
        <w:rPr>
          <w:rFonts w:ascii="Verdana" w:hAnsi="Verdana"/>
          <w:color w:val="444444"/>
          <w:sz w:val="20"/>
          <w:szCs w:val="20"/>
        </w:rPr>
      </w:pPr>
      <w:r>
        <w:rPr>
          <w:rFonts w:ascii="Verdana" w:hAnsi="Verdana"/>
          <w:color w:val="444444"/>
          <w:sz w:val="20"/>
          <w:szCs w:val="20"/>
        </w:rPr>
        <w:t> </w:t>
      </w:r>
    </w:p>
    <w:p w:rsidR="0051329F" w:rsidRDefault="0051329F" w:rsidP="0051329F">
      <w:pPr>
        <w:pStyle w:val="Normaalweb"/>
        <w:shd w:val="clear" w:color="auto" w:fill="FFFFFF"/>
        <w:rPr>
          <w:rFonts w:ascii="Verdana" w:hAnsi="Verdana"/>
          <w:color w:val="444444"/>
          <w:sz w:val="20"/>
          <w:szCs w:val="20"/>
        </w:rPr>
      </w:pPr>
      <w:r>
        <w:rPr>
          <w:rFonts w:ascii="Verdana" w:hAnsi="Verdana"/>
          <w:color w:val="444444"/>
          <w:sz w:val="20"/>
          <w:szCs w:val="20"/>
        </w:rPr>
        <w:lastRenderedPageBreak/>
        <w:t>Gedaan te Brussel, op 12 december 2008, in tweevoud, in de Franse en Nederlandse taal, zijnde de twee teksten gelijkelijk authentiek.</w:t>
      </w:r>
    </w:p>
    <w:p w:rsidR="0051329F" w:rsidRDefault="0051329F" w:rsidP="0051329F">
      <w:pPr>
        <w:pStyle w:val="Normaalweb"/>
        <w:shd w:val="clear" w:color="auto" w:fill="FFFFFF"/>
        <w:rPr>
          <w:rFonts w:ascii="Verdana" w:hAnsi="Verdana"/>
          <w:color w:val="444444"/>
          <w:sz w:val="20"/>
          <w:szCs w:val="20"/>
        </w:rPr>
      </w:pPr>
      <w:r>
        <w:rPr>
          <w:rFonts w:ascii="Verdana" w:hAnsi="Verdana"/>
          <w:color w:val="444444"/>
          <w:sz w:val="20"/>
          <w:szCs w:val="20"/>
        </w:rPr>
        <w:t> </w:t>
      </w:r>
    </w:p>
    <w:p w:rsidR="0051329F" w:rsidRDefault="0051329F" w:rsidP="0051329F">
      <w:pPr>
        <w:pStyle w:val="Normaalweb"/>
        <w:shd w:val="clear" w:color="auto" w:fill="FFFFFF"/>
        <w:rPr>
          <w:rFonts w:ascii="Verdana" w:hAnsi="Verdana"/>
          <w:color w:val="444444"/>
          <w:sz w:val="20"/>
          <w:szCs w:val="20"/>
        </w:rPr>
      </w:pPr>
      <w:r>
        <w:rPr>
          <w:rStyle w:val="Nadruk"/>
          <w:rFonts w:ascii="Verdana" w:hAnsi="Verdana"/>
          <w:color w:val="444444"/>
          <w:sz w:val="20"/>
          <w:szCs w:val="20"/>
        </w:rPr>
        <w:t>Dit Avenant treedt in werking op 17 december 2009, overeenkomstig zijn artikel 5.</w:t>
      </w:r>
    </w:p>
    <w:p w:rsidR="0051329F" w:rsidRDefault="0051329F" w:rsidP="0051329F">
      <w:pPr>
        <w:pStyle w:val="Normaalweb"/>
        <w:shd w:val="clear" w:color="auto" w:fill="FFFFFF"/>
        <w:rPr>
          <w:rFonts w:ascii="Verdana" w:hAnsi="Verdana"/>
          <w:color w:val="444444"/>
          <w:sz w:val="20"/>
          <w:szCs w:val="20"/>
        </w:rPr>
      </w:pPr>
      <w:r>
        <w:rPr>
          <w:rFonts w:ascii="Verdana" w:hAnsi="Verdana"/>
          <w:color w:val="444444"/>
          <w:sz w:val="20"/>
          <w:szCs w:val="20"/>
        </w:rPr>
        <w:t> </w:t>
      </w:r>
    </w:p>
    <w:p w:rsidR="000D364A" w:rsidRPr="0051329F" w:rsidRDefault="000D364A" w:rsidP="0051329F">
      <w:bookmarkStart w:id="0" w:name="_GoBack"/>
      <w:bookmarkEnd w:id="0"/>
    </w:p>
    <w:sectPr w:rsidR="000D364A" w:rsidRPr="00513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13241B"/>
    <w:rsid w:val="001750BC"/>
    <w:rsid w:val="001B5273"/>
    <w:rsid w:val="002D7EDF"/>
    <w:rsid w:val="00311270"/>
    <w:rsid w:val="0038651D"/>
    <w:rsid w:val="003971CC"/>
    <w:rsid w:val="004149DE"/>
    <w:rsid w:val="004603B8"/>
    <w:rsid w:val="0050499F"/>
    <w:rsid w:val="0051329F"/>
    <w:rsid w:val="00523554"/>
    <w:rsid w:val="005F78D3"/>
    <w:rsid w:val="006F549C"/>
    <w:rsid w:val="00750CCF"/>
    <w:rsid w:val="0077561D"/>
    <w:rsid w:val="00782D47"/>
    <w:rsid w:val="00825007"/>
    <w:rsid w:val="00A64540"/>
    <w:rsid w:val="00AF5FA6"/>
    <w:rsid w:val="00BD06F1"/>
    <w:rsid w:val="00C22C33"/>
    <w:rsid w:val="00C854AB"/>
    <w:rsid w:val="00D41F2B"/>
    <w:rsid w:val="00D548C2"/>
    <w:rsid w:val="00D5754B"/>
    <w:rsid w:val="00FD72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504396647">
      <w:bodyDiv w:val="1"/>
      <w:marLeft w:val="0"/>
      <w:marRight w:val="0"/>
      <w:marTop w:val="0"/>
      <w:marBottom w:val="0"/>
      <w:divBdr>
        <w:top w:val="none" w:sz="0" w:space="0" w:color="auto"/>
        <w:left w:val="none" w:sz="0" w:space="0" w:color="auto"/>
        <w:bottom w:val="none" w:sz="0" w:space="0" w:color="auto"/>
        <w:right w:val="none" w:sz="0" w:space="0" w:color="auto"/>
      </w:divBdr>
      <w:divsChild>
        <w:div w:id="99641840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83764526">
      <w:bodyDiv w:val="1"/>
      <w:marLeft w:val="0"/>
      <w:marRight w:val="0"/>
      <w:marTop w:val="0"/>
      <w:marBottom w:val="0"/>
      <w:divBdr>
        <w:top w:val="none" w:sz="0" w:space="0" w:color="auto"/>
        <w:left w:val="none" w:sz="0" w:space="0" w:color="auto"/>
        <w:bottom w:val="none" w:sz="0" w:space="0" w:color="auto"/>
        <w:right w:val="none" w:sz="0" w:space="0" w:color="auto"/>
      </w:divBdr>
      <w:divsChild>
        <w:div w:id="812648505">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26967604">
      <w:bodyDiv w:val="1"/>
      <w:marLeft w:val="0"/>
      <w:marRight w:val="0"/>
      <w:marTop w:val="0"/>
      <w:marBottom w:val="0"/>
      <w:divBdr>
        <w:top w:val="none" w:sz="0" w:space="0" w:color="auto"/>
        <w:left w:val="none" w:sz="0" w:space="0" w:color="auto"/>
        <w:bottom w:val="none" w:sz="0" w:space="0" w:color="auto"/>
        <w:right w:val="none" w:sz="0" w:space="0" w:color="auto"/>
      </w:divBdr>
      <w:divsChild>
        <w:div w:id="1144851309">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6711072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1759</Words>
  <Characters>10207</Characters>
  <Application>Microsoft Office Word</Application>
  <DocSecurity>0</DocSecurity>
  <Lines>226</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2019-05-22T15:39:00Z</dcterms:created>
  <dcterms:modified xsi:type="dcterms:W3CDTF">2019-05-22T15:39:00Z</dcterms:modified>
</cp:coreProperties>
</file>