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C7" w:rsidRPr="00CA1FC7" w:rsidRDefault="00CA1FC7" w:rsidP="00CA1FC7">
      <w:pPr>
        <w:pStyle w:val="Kop1"/>
        <w:shd w:val="clear" w:color="auto" w:fill="FFFFFF"/>
        <w:rPr>
          <w:rFonts w:ascii="Verdana" w:hAnsi="Verdana"/>
          <w:b w:val="0"/>
          <w:bCs w:val="0"/>
          <w:color w:val="777777"/>
          <w:sz w:val="55"/>
          <w:szCs w:val="55"/>
          <w:lang w:val="nl-BE"/>
        </w:rPr>
      </w:pPr>
      <w:r w:rsidRPr="00CA1FC7">
        <w:rPr>
          <w:rFonts w:ascii="Verdana" w:hAnsi="Verdana"/>
          <w:b w:val="0"/>
          <w:bCs w:val="0"/>
          <w:color w:val="777777"/>
          <w:sz w:val="55"/>
          <w:szCs w:val="55"/>
          <w:lang w:val="nl-BE"/>
        </w:rPr>
        <w:t>Denemarken (Gecoördineerde tekst)</w:t>
      </w:r>
    </w:p>
    <w:p w:rsidR="00CA1FC7" w:rsidRDefault="00CA1FC7" w:rsidP="00CA1FC7">
      <w:pPr>
        <w:rPr>
          <w:rFonts w:ascii="Times New Roman" w:hAnsi="Times New Roman"/>
          <w:sz w:val="24"/>
          <w:szCs w:val="24"/>
        </w:rPr>
      </w:pPr>
      <w:r>
        <w:rPr>
          <w:rFonts w:ascii="Verdana" w:hAnsi="Verdana"/>
          <w:color w:val="444444"/>
          <w:sz w:val="20"/>
          <w:szCs w:val="20"/>
        </w:rPr>
        <w:br/>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Zwaar"/>
          <w:rFonts w:ascii="Verdana" w:hAnsi="Verdana"/>
          <w:color w:val="444444"/>
          <w:sz w:val="20"/>
          <w:szCs w:val="20"/>
          <w:lang w:val="nl-BE"/>
        </w:rPr>
        <w:t>Denemarken (Gecoördineerde tekst)</w:t>
      </w:r>
    </w:p>
    <w:p w:rsidR="00CA1FC7" w:rsidRPr="00CA1FC7" w:rsidRDefault="00CA1FC7" w:rsidP="00CA1FC7">
      <w:pPr>
        <w:pStyle w:val="Normaalweb"/>
        <w:shd w:val="clear" w:color="auto" w:fill="FFFFFF"/>
        <w:jc w:val="right"/>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Overeenkomst tussen België en Denemarken tot het vermijden van dubbele belasting en tot regeling van sommige andere aangelegenheden inzake belastingen naar het inkomen en naar het vermogen.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A1FC7" w:rsidTr="00CA1F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1FC7" w:rsidRPr="00CA1FC7" w:rsidRDefault="00CA1FC7">
            <w:pPr>
              <w:pStyle w:val="Normaalweb"/>
              <w:rPr>
                <w:lang w:val="nl-BE"/>
              </w:rPr>
            </w:pPr>
            <w:r w:rsidRPr="00CA1FC7">
              <w:rPr>
                <w:lang w:val="nl-BE"/>
              </w:rPr>
              <w:t>Overeenkomst ondertekend op 16.10.1969</w:t>
            </w:r>
          </w:p>
          <w:p w:rsidR="00CA1FC7" w:rsidRPr="00CA1FC7" w:rsidRDefault="00CA1FC7">
            <w:pPr>
              <w:pStyle w:val="Normaalweb"/>
              <w:rPr>
                <w:lang w:val="nl-BE"/>
              </w:rPr>
            </w:pPr>
            <w:r w:rsidRPr="00CA1FC7">
              <w:rPr>
                <w:lang w:val="nl-BE"/>
              </w:rPr>
              <w:t>Goedkeuringswet: 11.12.1970</w:t>
            </w:r>
          </w:p>
          <w:p w:rsidR="00CA1FC7" w:rsidRPr="00CA1FC7" w:rsidRDefault="00CA1FC7">
            <w:pPr>
              <w:pStyle w:val="Normaalweb"/>
              <w:rPr>
                <w:lang w:val="nl-BE"/>
              </w:rPr>
            </w:pPr>
            <w:r w:rsidRPr="00CA1FC7">
              <w:rPr>
                <w:lang w:val="nl-BE"/>
              </w:rPr>
              <w:t>In werking getreden op 31.12.1970</w:t>
            </w:r>
          </w:p>
          <w:p w:rsidR="00CA1FC7" w:rsidRPr="00CA1FC7" w:rsidRDefault="00CA1FC7">
            <w:pPr>
              <w:pStyle w:val="Normaalweb"/>
              <w:rPr>
                <w:lang w:val="nl-BE"/>
              </w:rPr>
            </w:pPr>
            <w:r w:rsidRPr="00CA1FC7">
              <w:rPr>
                <w:lang w:val="nl-BE"/>
              </w:rPr>
              <w:t>Verschenen in Belgisch Staatsblad: 30.01.1971 - 06.02.1971</w:t>
            </w:r>
          </w:p>
          <w:p w:rsidR="00CA1FC7" w:rsidRPr="00CA1FC7" w:rsidRDefault="00CA1FC7">
            <w:pPr>
              <w:pStyle w:val="Normaalweb"/>
              <w:rPr>
                <w:lang w:val="nl-BE"/>
              </w:rPr>
            </w:pPr>
            <w:r w:rsidRPr="00CA1FC7">
              <w:rPr>
                <w:lang w:val="nl-BE"/>
              </w:rPr>
              <w:t> </w:t>
            </w:r>
          </w:p>
          <w:p w:rsidR="00CA1FC7" w:rsidRPr="00CA1FC7" w:rsidRDefault="00CA1FC7">
            <w:pPr>
              <w:pStyle w:val="Normaalweb"/>
              <w:rPr>
                <w:lang w:val="nl-BE"/>
              </w:rPr>
            </w:pPr>
            <w:r w:rsidRPr="00CA1FC7">
              <w:rPr>
                <w:rStyle w:val="Zwaar"/>
                <w:lang w:val="nl-BE"/>
              </w:rPr>
              <w:t>Toepassing vanaf:</w:t>
            </w:r>
          </w:p>
          <w:p w:rsidR="00CA1FC7" w:rsidRDefault="00CA1FC7">
            <w:pPr>
              <w:pStyle w:val="Normaalweb"/>
            </w:pPr>
            <w:r>
              <w:t xml:space="preserve">- </w:t>
            </w:r>
            <w:proofErr w:type="spellStart"/>
            <w:r>
              <w:t>Bronbelasting</w:t>
            </w:r>
            <w:proofErr w:type="spellEnd"/>
            <w:r>
              <w:t>: 01.01.1971</w:t>
            </w:r>
          </w:p>
          <w:p w:rsidR="00CA1FC7" w:rsidRDefault="00CA1FC7">
            <w:pPr>
              <w:pStyle w:val="Normaalweb"/>
            </w:pPr>
            <w:r>
              <w:t xml:space="preserve">- </w:t>
            </w:r>
            <w:proofErr w:type="spellStart"/>
            <w:r>
              <w:t>Andere</w:t>
            </w:r>
            <w:proofErr w:type="spellEnd"/>
            <w:r>
              <w:t xml:space="preserve"> </w:t>
            </w:r>
            <w:proofErr w:type="spellStart"/>
            <w:r>
              <w:t>belastingen</w:t>
            </w:r>
            <w:proofErr w:type="spellEnd"/>
            <w:r>
              <w:t>: 31.12.1970</w:t>
            </w:r>
          </w:p>
          <w:p w:rsidR="00CA1FC7" w:rsidRDefault="00CA1FC7">
            <w:pPr>
              <w:pStyle w:val="Normaalweb"/>
            </w:pPr>
            <w:r>
              <w:t>Bull. 483</w:t>
            </w:r>
          </w:p>
        </w:tc>
      </w:tr>
      <w:tr w:rsidR="00CA1FC7" w:rsidTr="00CA1F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1FC7" w:rsidRPr="00CA1FC7" w:rsidRDefault="00CA1FC7">
            <w:pPr>
              <w:pStyle w:val="Normaalweb"/>
              <w:rPr>
                <w:lang w:val="nl-BE"/>
              </w:rPr>
            </w:pPr>
            <w:hyperlink r:id="rId5" w:history="1">
              <w:r w:rsidRPr="00CA1FC7">
                <w:rPr>
                  <w:rStyle w:val="Hyperlink"/>
                  <w:color w:val="663399"/>
                  <w:lang w:val="nl-BE"/>
                </w:rPr>
                <w:t>http://www.dekamer.be/digidoc/DPS/K2009/K20090198/K20090198.PDF</w:t>
              </w:r>
            </w:hyperlink>
          </w:p>
        </w:tc>
      </w:tr>
      <w:tr w:rsidR="00CA1FC7" w:rsidTr="00CA1F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1FC7" w:rsidRPr="00CA1FC7" w:rsidRDefault="00CA1FC7">
            <w:pPr>
              <w:pStyle w:val="Normaalweb"/>
              <w:rPr>
                <w:lang w:val="nl-BE"/>
              </w:rPr>
            </w:pPr>
            <w:r w:rsidRPr="00CA1FC7">
              <w:rPr>
                <w:rStyle w:val="Zwaar"/>
                <w:lang w:val="nl-BE"/>
              </w:rPr>
              <w:t>Protocol</w:t>
            </w:r>
            <w:r w:rsidRPr="00CA1FC7">
              <w:rPr>
                <w:lang w:val="nl-BE"/>
              </w:rPr>
              <w:t> ondertekend op 27.09.1999</w:t>
            </w:r>
          </w:p>
          <w:p w:rsidR="00CA1FC7" w:rsidRPr="00CA1FC7" w:rsidRDefault="00CA1FC7">
            <w:pPr>
              <w:pStyle w:val="Normaalweb"/>
              <w:rPr>
                <w:lang w:val="nl-BE"/>
              </w:rPr>
            </w:pPr>
            <w:r w:rsidRPr="00CA1FC7">
              <w:rPr>
                <w:lang w:val="nl-BE"/>
              </w:rPr>
              <w:t>Goedkeuringswet: 27.02.2003</w:t>
            </w:r>
          </w:p>
          <w:p w:rsidR="00CA1FC7" w:rsidRPr="00CA1FC7" w:rsidRDefault="00CA1FC7">
            <w:pPr>
              <w:pStyle w:val="Normaalweb"/>
              <w:rPr>
                <w:lang w:val="nl-BE"/>
              </w:rPr>
            </w:pPr>
            <w:r w:rsidRPr="00CA1FC7">
              <w:rPr>
                <w:lang w:val="nl-BE"/>
              </w:rPr>
              <w:t>In werking getreden op 25.04.2003</w:t>
            </w:r>
          </w:p>
          <w:p w:rsidR="00CA1FC7" w:rsidRPr="00CA1FC7" w:rsidRDefault="00CA1FC7">
            <w:pPr>
              <w:pStyle w:val="Normaalweb"/>
              <w:rPr>
                <w:lang w:val="nl-BE"/>
              </w:rPr>
            </w:pPr>
            <w:r w:rsidRPr="00CA1FC7">
              <w:rPr>
                <w:lang w:val="nl-BE"/>
              </w:rPr>
              <w:t>Verschenen in Belgisch Staatsblad: 20.10.2003</w:t>
            </w:r>
          </w:p>
          <w:p w:rsidR="00CA1FC7" w:rsidRPr="00CA1FC7" w:rsidRDefault="00CA1FC7">
            <w:pPr>
              <w:pStyle w:val="Normaalweb"/>
              <w:rPr>
                <w:lang w:val="nl-BE"/>
              </w:rPr>
            </w:pPr>
            <w:r w:rsidRPr="00CA1FC7">
              <w:rPr>
                <w:lang w:val="nl-BE"/>
              </w:rPr>
              <w:t> </w:t>
            </w:r>
          </w:p>
          <w:p w:rsidR="00CA1FC7" w:rsidRPr="00CA1FC7" w:rsidRDefault="00CA1FC7">
            <w:pPr>
              <w:pStyle w:val="Normaalweb"/>
              <w:rPr>
                <w:lang w:val="nl-BE"/>
              </w:rPr>
            </w:pPr>
            <w:r w:rsidRPr="00CA1FC7">
              <w:rPr>
                <w:u w:val="single"/>
                <w:lang w:val="nl-BE"/>
              </w:rPr>
              <w:t>Toepassing vanaf:</w:t>
            </w:r>
          </w:p>
          <w:p w:rsidR="00CA1FC7" w:rsidRDefault="00CA1FC7">
            <w:pPr>
              <w:pStyle w:val="Normaalweb"/>
            </w:pPr>
            <w:r>
              <w:lastRenderedPageBreak/>
              <w:t xml:space="preserve">- </w:t>
            </w:r>
            <w:proofErr w:type="spellStart"/>
            <w:r>
              <w:t>Bronbelasting</w:t>
            </w:r>
            <w:proofErr w:type="spellEnd"/>
            <w:r>
              <w:t>: 31.12.2003</w:t>
            </w:r>
          </w:p>
          <w:p w:rsidR="00CA1FC7" w:rsidRDefault="00CA1FC7">
            <w:pPr>
              <w:pStyle w:val="Normaalweb"/>
            </w:pPr>
            <w:r>
              <w:t xml:space="preserve">- </w:t>
            </w:r>
            <w:proofErr w:type="spellStart"/>
            <w:r>
              <w:t>Andere</w:t>
            </w:r>
            <w:proofErr w:type="spellEnd"/>
            <w:r>
              <w:t xml:space="preserve"> </w:t>
            </w:r>
            <w:proofErr w:type="spellStart"/>
            <w:r>
              <w:t>belastingen</w:t>
            </w:r>
            <w:proofErr w:type="spellEnd"/>
            <w:r>
              <w:t>: 31.12.2003</w:t>
            </w:r>
          </w:p>
        </w:tc>
      </w:tr>
      <w:tr w:rsidR="00CA1FC7" w:rsidTr="00CA1F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1FC7" w:rsidRPr="00CA1FC7" w:rsidRDefault="00CA1FC7">
            <w:pPr>
              <w:pStyle w:val="Normaalweb"/>
              <w:rPr>
                <w:lang w:val="nl-BE"/>
              </w:rPr>
            </w:pPr>
            <w:hyperlink r:id="rId6" w:history="1">
              <w:r w:rsidRPr="00CA1FC7">
                <w:rPr>
                  <w:rStyle w:val="Hyperlink"/>
                  <w:color w:val="663399"/>
                  <w:lang w:val="nl-BE"/>
                </w:rPr>
                <w:t>http://www.senate.be/www/webdriver?MItabObj=pdf&amp;MIcolObj=pdf&amp;MInamObj=pdfid&amp;MItypeObj=application/pdf&amp;MIvalObj=33578085</w:t>
              </w:r>
            </w:hyperlink>
          </w:p>
        </w:tc>
      </w:tr>
      <w:tr w:rsidR="00CA1FC7" w:rsidTr="00CA1F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1FC7" w:rsidRPr="00CA1FC7" w:rsidRDefault="00CA1FC7">
            <w:pPr>
              <w:pStyle w:val="Normaalweb"/>
              <w:rPr>
                <w:lang w:val="nl-BE"/>
              </w:rPr>
            </w:pPr>
            <w:r w:rsidRPr="00CA1FC7">
              <w:rPr>
                <w:rStyle w:val="Zwaar"/>
                <w:lang w:val="nl-BE"/>
              </w:rPr>
              <w:t>Protocol</w:t>
            </w:r>
            <w:r w:rsidRPr="00CA1FC7">
              <w:rPr>
                <w:lang w:val="nl-BE"/>
              </w:rPr>
              <w:t> ondertekend op 07.07.2009</w:t>
            </w:r>
          </w:p>
          <w:p w:rsidR="00CA1FC7" w:rsidRPr="00CA1FC7" w:rsidRDefault="00CA1FC7">
            <w:pPr>
              <w:pStyle w:val="Normaalweb"/>
              <w:rPr>
                <w:lang w:val="nl-BE"/>
              </w:rPr>
            </w:pPr>
            <w:r w:rsidRPr="00CA1FC7">
              <w:rPr>
                <w:lang w:val="nl-BE"/>
              </w:rPr>
              <w:t>Goedkeuringswet: 19.08.2011</w:t>
            </w:r>
          </w:p>
          <w:p w:rsidR="00CA1FC7" w:rsidRPr="00CA1FC7" w:rsidRDefault="00CA1FC7">
            <w:pPr>
              <w:pStyle w:val="Normaalweb"/>
              <w:rPr>
                <w:lang w:val="nl-BE"/>
              </w:rPr>
            </w:pPr>
            <w:r w:rsidRPr="00CA1FC7">
              <w:rPr>
                <w:lang w:val="nl-BE"/>
              </w:rPr>
              <w:t>Verschenen in Belgisch Staatsblad: 17.09.2013</w:t>
            </w:r>
          </w:p>
          <w:p w:rsidR="00CA1FC7" w:rsidRPr="00CA1FC7" w:rsidRDefault="00CA1FC7">
            <w:pPr>
              <w:pStyle w:val="Normaalweb"/>
              <w:rPr>
                <w:lang w:val="nl-BE"/>
              </w:rPr>
            </w:pPr>
            <w:r w:rsidRPr="00CA1FC7">
              <w:rPr>
                <w:lang w:val="nl-BE"/>
              </w:rPr>
              <w:t>In werking getreden op 18.07.2013</w:t>
            </w:r>
          </w:p>
          <w:p w:rsidR="00CA1FC7" w:rsidRPr="00CA1FC7" w:rsidRDefault="00CA1FC7">
            <w:pPr>
              <w:pStyle w:val="Normaalweb"/>
              <w:rPr>
                <w:lang w:val="nl-BE"/>
              </w:rPr>
            </w:pPr>
            <w:r w:rsidRPr="00CA1FC7">
              <w:rPr>
                <w:lang w:val="nl-BE"/>
              </w:rPr>
              <w:t> </w:t>
            </w:r>
          </w:p>
          <w:p w:rsidR="00CA1FC7" w:rsidRPr="00CA1FC7" w:rsidRDefault="00CA1FC7">
            <w:pPr>
              <w:pStyle w:val="Normaalweb"/>
              <w:rPr>
                <w:lang w:val="nl-BE"/>
              </w:rPr>
            </w:pPr>
            <w:r w:rsidRPr="00CA1FC7">
              <w:rPr>
                <w:rStyle w:val="Zwaar"/>
                <w:lang w:val="nl-BE"/>
              </w:rPr>
              <w:t>Toepassing</w:t>
            </w:r>
            <w:r w:rsidRPr="00CA1FC7">
              <w:rPr>
                <w:u w:val="single"/>
                <w:lang w:val="nl-BE"/>
              </w:rPr>
              <w:t>:</w:t>
            </w:r>
          </w:p>
          <w:p w:rsidR="00CA1FC7" w:rsidRPr="00CA1FC7" w:rsidRDefault="00CA1FC7">
            <w:pPr>
              <w:pStyle w:val="Normaalweb"/>
              <w:rPr>
                <w:lang w:val="nl-BE"/>
              </w:rPr>
            </w:pPr>
            <w:r w:rsidRPr="00CA1FC7">
              <w:rPr>
                <w:lang w:val="nl-BE"/>
              </w:rPr>
              <w:t>- Bronbelasting: 01.01.2010</w:t>
            </w:r>
          </w:p>
          <w:p w:rsidR="00CA1FC7" w:rsidRPr="00CA1FC7" w:rsidRDefault="00CA1FC7">
            <w:pPr>
              <w:pStyle w:val="Normaalweb"/>
              <w:rPr>
                <w:lang w:val="nl-BE"/>
              </w:rPr>
            </w:pPr>
            <w:r w:rsidRPr="00CA1FC7">
              <w:rPr>
                <w:lang w:val="nl-BE"/>
              </w:rPr>
              <w:t>- Andere inkomstenbelastingen: belastbare tijdperken die beginnen op of na 01.01.2010</w:t>
            </w:r>
          </w:p>
          <w:p w:rsidR="00CA1FC7" w:rsidRDefault="00CA1FC7">
            <w:pPr>
              <w:pStyle w:val="Normaalweb"/>
            </w:pPr>
            <w:r>
              <w:t xml:space="preserve">- </w:t>
            </w:r>
            <w:proofErr w:type="spellStart"/>
            <w:r>
              <w:t>Andere</w:t>
            </w:r>
            <w:proofErr w:type="spellEnd"/>
            <w:r>
              <w:t xml:space="preserve"> </w:t>
            </w:r>
            <w:proofErr w:type="spellStart"/>
            <w:r>
              <w:t>belastingen</w:t>
            </w:r>
            <w:proofErr w:type="spellEnd"/>
            <w:r>
              <w:t>: 01.01.2010</w:t>
            </w:r>
          </w:p>
        </w:tc>
      </w:tr>
      <w:tr w:rsidR="00CA1FC7" w:rsidTr="00CA1F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1FC7" w:rsidRPr="00CA1FC7" w:rsidRDefault="00CA1FC7">
            <w:pPr>
              <w:pStyle w:val="Normaalweb"/>
              <w:rPr>
                <w:lang w:val="nl-BE"/>
              </w:rPr>
            </w:pPr>
            <w:hyperlink r:id="rId7" w:history="1">
              <w:r w:rsidRPr="00CA1FC7">
                <w:rPr>
                  <w:rStyle w:val="Hyperlink"/>
                  <w:color w:val="663399"/>
                  <w:lang w:val="nl-BE"/>
                </w:rPr>
                <w:t>http://www.senate.be/www/webdriver?MItabObj=pdf&amp;MIcolObj=pdf&amp;MInamObj=pdfid&amp;MItypeObj=application/pdf&amp;MIvalObj=33578085</w:t>
              </w:r>
            </w:hyperlink>
          </w:p>
        </w:tc>
      </w:tr>
    </w:tbl>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I. Reikwijdte van de overeenkomst.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 Personen op wie de overeenkomst van toepassing is.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Deze Overeenkomst is van toepassing op personen die verblijfhouder zijn van een overeenkomstsluitende Staat of van beide overeenkomstsluitende Staten.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 Belastingen waarop de overeenkomst van toepassing is.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door ondernemingen betaalde lonen, alsmede belastingen naar waardevermeerdering.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3 De bestaande belastingen waarop de Overeenkomst van toepassing is, zijn met name :</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met betrekking tot België :</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a)</w:t>
      </w:r>
      <w:r w:rsidRPr="00CA1FC7">
        <w:rPr>
          <w:rFonts w:ascii="Verdana" w:hAnsi="Verdana"/>
          <w:color w:val="444444"/>
          <w:sz w:val="20"/>
          <w:szCs w:val="20"/>
          <w:lang w:val="nl-BE"/>
        </w:rPr>
        <w:t> de personenbelasting;</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b)</w:t>
      </w:r>
      <w:r w:rsidRPr="00CA1FC7">
        <w:rPr>
          <w:rFonts w:ascii="Verdana" w:hAnsi="Verdana"/>
          <w:color w:val="444444"/>
          <w:sz w:val="20"/>
          <w:szCs w:val="20"/>
          <w:lang w:val="nl-BE"/>
        </w:rPr>
        <w:t> de vennootschapsbelasting;</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c)</w:t>
      </w:r>
      <w:r w:rsidRPr="00CA1FC7">
        <w:rPr>
          <w:rFonts w:ascii="Verdana" w:hAnsi="Verdana"/>
          <w:color w:val="444444"/>
          <w:sz w:val="20"/>
          <w:szCs w:val="20"/>
          <w:lang w:val="nl-BE"/>
        </w:rPr>
        <w:t> de rechtspersonenbelasting;</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d)</w:t>
      </w:r>
      <w:r w:rsidRPr="00CA1FC7">
        <w:rPr>
          <w:rFonts w:ascii="Verdana" w:hAnsi="Verdana"/>
          <w:color w:val="444444"/>
          <w:sz w:val="20"/>
          <w:szCs w:val="20"/>
          <w:lang w:val="nl-BE"/>
        </w:rPr>
        <w:t> de belasting van niet-inwoners;</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e)</w:t>
      </w:r>
      <w:r w:rsidRPr="00CA1FC7">
        <w:rPr>
          <w:rFonts w:ascii="Verdana" w:hAnsi="Verdana"/>
          <w:color w:val="444444"/>
          <w:sz w:val="20"/>
          <w:szCs w:val="20"/>
          <w:lang w:val="nl-BE"/>
        </w:rPr>
        <w:t> de met de personenbelasting gelijkgestelde bijzondere heffing;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met inbegrip van de voorheffingen, de opcentiemen op die belastingen en voorheffingen, alsmede de aanvullende belastingen op de personenbelasting,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(hierna te noemen "Belgische belasting");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met betrekking tot Denemarken :</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a)</w:t>
      </w:r>
      <w:r w:rsidRPr="00CA1FC7">
        <w:rPr>
          <w:rFonts w:ascii="Verdana" w:hAnsi="Verdana"/>
          <w:color w:val="444444"/>
          <w:sz w:val="20"/>
          <w:szCs w:val="20"/>
          <w:lang w:val="nl-BE"/>
        </w:rPr>
        <w:t> de Rijksbelasting op het inkomen;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b)</w:t>
      </w:r>
      <w:r w:rsidRPr="00CA1FC7">
        <w:rPr>
          <w:rFonts w:ascii="Verdana" w:hAnsi="Verdana"/>
          <w:color w:val="444444"/>
          <w:sz w:val="20"/>
          <w:szCs w:val="20"/>
          <w:lang w:val="nl-BE"/>
        </w:rPr>
        <w:t> de gemeentebelasting op het inkomen;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c)</w:t>
      </w:r>
      <w:r w:rsidRPr="00CA1FC7">
        <w:rPr>
          <w:rFonts w:ascii="Verdana" w:hAnsi="Verdana"/>
          <w:color w:val="444444"/>
          <w:sz w:val="20"/>
          <w:szCs w:val="20"/>
          <w:lang w:val="nl-BE"/>
        </w:rPr>
        <w:t> de regionale belasting op het inkomen;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d)</w:t>
      </w:r>
      <w:r w:rsidRPr="00CA1FC7">
        <w:rPr>
          <w:rFonts w:ascii="Verdana" w:hAnsi="Verdana"/>
          <w:color w:val="444444"/>
          <w:sz w:val="20"/>
          <w:szCs w:val="20"/>
          <w:lang w:val="nl-BE"/>
        </w:rPr>
        <w:t> de belasting op bijzonder inkomen;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e)</w:t>
      </w:r>
      <w:r w:rsidRPr="00CA1FC7">
        <w:rPr>
          <w:rFonts w:ascii="Verdana" w:hAnsi="Verdana"/>
          <w:color w:val="444444"/>
          <w:sz w:val="20"/>
          <w:szCs w:val="20"/>
          <w:lang w:val="nl-BE"/>
        </w:rPr>
        <w:t> de kerkelijke belasting;</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f)</w:t>
      </w:r>
      <w:r w:rsidRPr="00CA1FC7">
        <w:rPr>
          <w:rFonts w:ascii="Verdana" w:hAnsi="Verdana"/>
          <w:color w:val="444444"/>
          <w:sz w:val="20"/>
          <w:szCs w:val="20"/>
          <w:lang w:val="nl-BE"/>
        </w:rPr>
        <w:t> de belasting op dividenden;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g)</w:t>
      </w:r>
      <w:r w:rsidRPr="00CA1FC7">
        <w:rPr>
          <w:rFonts w:ascii="Verdana" w:hAnsi="Verdana"/>
          <w:color w:val="444444"/>
          <w:sz w:val="20"/>
          <w:szCs w:val="20"/>
          <w:lang w:val="nl-BE"/>
        </w:rPr>
        <w:t> de belasting op interest;</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h)</w:t>
      </w:r>
      <w:r w:rsidRPr="00CA1FC7">
        <w:rPr>
          <w:rFonts w:ascii="Verdana" w:hAnsi="Verdana"/>
          <w:color w:val="444444"/>
          <w:sz w:val="20"/>
          <w:szCs w:val="20"/>
          <w:lang w:val="nl-BE"/>
        </w:rPr>
        <w:t> de belasting op royalty's;</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i)</w:t>
      </w:r>
      <w:r w:rsidRPr="00CA1FC7">
        <w:rPr>
          <w:rFonts w:ascii="Verdana" w:hAnsi="Verdana"/>
          <w:color w:val="444444"/>
          <w:sz w:val="20"/>
          <w:szCs w:val="20"/>
          <w:lang w:val="nl-BE"/>
        </w:rPr>
        <w:t> de belasting geheven ingevolge de Wet op de Belasting van Koolwaterstoffen;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j)</w:t>
      </w:r>
      <w:r w:rsidRPr="00CA1FC7">
        <w:rPr>
          <w:rFonts w:ascii="Verdana" w:hAnsi="Verdana"/>
          <w:color w:val="444444"/>
          <w:sz w:val="20"/>
          <w:szCs w:val="20"/>
          <w:lang w:val="nl-BE"/>
        </w:rPr>
        <w:t> de Rijksbelasting op het vermogen;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k)</w:t>
      </w:r>
      <w:r w:rsidRPr="00CA1FC7">
        <w:rPr>
          <w:rFonts w:ascii="Verdana" w:hAnsi="Verdana"/>
          <w:color w:val="444444"/>
          <w:sz w:val="20"/>
          <w:szCs w:val="20"/>
          <w:lang w:val="nl-BE"/>
        </w:rPr>
        <w:t> de grondbelastingen;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met inbegrip van de bij de bron geheven belastingen,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(hierna te noemen "Deense belasting").</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3, gewijzigd door art. 1,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De Overeenkomst zal ook van toepassing zijn op elke gelijke of in wezen gelijksoortige belasting, die in de toekomst naast of in de plaats van de bestaande belastingen wordt geheven. Aan het einde van elk jaar zullen de bevoegde autoriteiten van de overeenkomstsluitende Staat elkaar de wijzigingen die in hun onderscheidene belastingwetten zijn aangebracht, mededelen.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II. Begripsbepalingen.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3. Algemene bepalingen.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§1 Indeze overeenkomst, tenzij het zinsverband anders vereist: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betekent de uitdrukking "België" het Koninkrijk België; in aardrijkskundig verband gebruikt, betekent ze het nationale grondgebied, de territoriale zee en elk ander gebied in zee waarin België, in overeenstemming met het internationale recht, soevereine rechten of zijn rechtsmacht uitoefent;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betekent de uitdrukking "Denemarken" het Koninkrijk Denemarken; in aardrijkskundig verband gebruikt, betekent ze het nationale grondgebied, de territoriale zee en elk ander gebied in zee waarin Denemarken, in overeenstemming met het internationale recht, soevereine rechten of zijn rechtsmacht uitoefent; de uitdrukking omvat niet de Fär Oereilanden en Groenland;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betekenen de uitdrukkingen "een overeenkomstsluitende Staat" en "de andere overeenkomstsluitende Staat", België of Denemarken, al naar het zinsverband vereist;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4° omvat het woord "persoon" elke natuurlijke persoon en elke vennootschap en elke andere vereniging van personen;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5° betekent het woord "vennootschap" elke rechtspersoon of elk ander lichaam dat als zodanig in de Staat waarvan het een verblijfhouder is, belastbaar is ter zake van zijn inkomen of van zijn vermogen;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6°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7° 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8° betekent de uitdrukking "bevoegde autoriteit" :</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a)</w:t>
      </w:r>
      <w:r w:rsidRPr="00CA1FC7">
        <w:rPr>
          <w:rFonts w:ascii="Verdana" w:hAnsi="Verdana"/>
          <w:color w:val="444444"/>
          <w:sz w:val="20"/>
          <w:szCs w:val="20"/>
          <w:lang w:val="nl-BE"/>
        </w:rPr>
        <w:t> in België, de Directeur-generaal der Directe Belastingen, en</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lastRenderedPageBreak/>
        <w:t>b)</w:t>
      </w:r>
      <w:r w:rsidRPr="00CA1FC7">
        <w:rPr>
          <w:rFonts w:ascii="Verdana" w:hAnsi="Verdana"/>
          <w:color w:val="444444"/>
          <w:sz w:val="20"/>
          <w:szCs w:val="20"/>
          <w:lang w:val="nl-BE"/>
        </w:rPr>
        <w:t> in Denemarken, de Minister van Belastingen of zijn bevoegde vertegenwoordiger.</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1, 1°, 2°, 7° en 8°, gewijzigd door art. 2,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Voor de toepassing van de overeenkomst door een overeenkomstsluitende Staat heeft, tenzij het zinsverband anders vereist, elke niet anders omschreven uitdrukking de betekenis welke die uitdrukking heeft volgens de wetgeving van die Staat met betrekking tot de belasting die het onderwerp van de overeenkomst uitmaken.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4. Fiscale woonplaats.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terzake van aldaar gelegen vermogen aan belasting zijn onderworpen.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1, gewijzigd door art. 3,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Indien een natuurlijke persoon ingevolge de bepaling van § 1 verblijfhouder van beide overeenkomstsluitende Staten is, gelden de volgende regels:</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hij wordt geacht verblijfhouder te zijn van de overeenkomstsluitende Staat waarin hij een duurzaam tehuis tot zijn beschikking heeft.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 hij gewoonlijk verblijft;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indien hij in beide overeenkomstsluitende Staten of in geen van beide gewoonlijk verblijft, wordt hij geacht verblijfhouder te zijn van de overeenkomstsluitende Staat waarvan hij onderdaan is;</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4° indien hij onderdaan is van beide overeenkomstsluitende Staten of van geen van beide, zullen de bevoegde autoriteiten van de overeenkomstsluitende Staten de aangelegenheid in onderlinge overeenstemming regelen.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Indien een andere dan een natuurlijke persoon ingevolge bepaling van § 1 verblijfhouder van beide overeenkomstsluitende Staten is, wordt hij geacht verblijfhouder te zijn van de overeenkomstsluitende Staat waarin de plaats van haar werkelijke leiding is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5. Vaste inrichting.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Voor de toepassing van deze overeenkomst betekent de uitdrukking "vaste inrichting" een vaste bedrijfsinrichting waarin de onderneming haar werkzaamheden geheel of gedeeltelijk uitoefent.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 uitdrukking "vaste inrichting" omvat in het bijzonder:</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een plaats waar leiding wordt gegeven;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een filiaal;</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een kantoor;</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4° een fabriek;</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5° een werkplaats;</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6° een mijn, een steengroeve of enige andere plaats waar natuurlijke eigendommen worden geëxploiteerd;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7° de uitvoering van een bouwwerk of van constructiewerkzaamheden waarvan de duur twaalf maanden overschrijdt.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Een vaste inrichting wordt niet aanwezig geacht indien: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gebruik wordt gemaakt van inrichtingen, uitsluitend voor de opslag, uitstalling of aflevering van aan de onderneming toebehorende goederen;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een aan de onderneming toebehorende goederenvoorraad wordt aangehouden, uitsluitend voor de opslag, uitstalling of aflevering;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een aan de onderneming toebehorende goederenvoorraad wordt aangehouden, uitsluitend voor de bewerking of verwerking door een andere onderneming;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4° een vaste bedrijfsinrichting wordt aangehouden, uitsluitend om voor de onderneming goederen aan te kopen of inlichtingen in te winnen;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 xml:space="preserve">5° een vaste bedrijfsinrichting ten hoeve van de onderneming wordt aangehouden, uitsluitend voor reclamedoeleinden, voor het geven van inlichtingen, voor </w:t>
      </w:r>
      <w:r w:rsidRPr="00CA1FC7">
        <w:rPr>
          <w:rFonts w:ascii="Verdana" w:hAnsi="Verdana"/>
          <w:color w:val="444444"/>
          <w:sz w:val="20"/>
          <w:szCs w:val="20"/>
          <w:lang w:val="nl-BE"/>
        </w:rPr>
        <w:lastRenderedPageBreak/>
        <w:t>wetenschappelijk onderzoek of voor soortgelijke werkzaamheden die van voorbereidende aard zijn of het karakter van hulpwerkzaamheden hebben.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Een persoon - niet zijnde een onafhankelijke vertegenwoordiger in de zin van § 5 - die in een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 andere onafhankelijke vertegenwoordiger, op voorwaarde dat deze personen in de normale uitoefening van hun bedrijf handelen.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6 Niettegenstaande de bepalingen van § 4 en 5, wordt een verzekeringsonderneming van een overeenkomstsluitende Staat beschouwd in de andere Staat een vaste inrichting te hebben zodra zij op het grondgebied van die andere Staat premies int of op dat grondgebied gelegen risico's verzekert door bemiddeling van de in § 4 bedoelde vertegenwoordiger of van een onafhankelijke vertegenwoordiger die een machtiging bezit om namens de onderneming overeenkomsten af te sluiten en dit recht gewoonlijk uitoefent.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7 De enkele omstandigheid dat een vennootschap die verblijfhouder is van een overeenkomstsluitende Staat een vennootschap beheerst of door een vennootschap wordt beheerst die verblijfhouder is van de andere overeenkomstsluitende Staat of die in de andere Staat zaken doet (hetzij met hulp van een vaste inrichting, hetzij op andere wijze), stempelt een van beide vennootschappen niet tot een vaste inrichting van de andere.</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III. Belastingheffing naar het inkomen.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6. Inkomsten uit onroerende goederen.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Inkomsten uit onroerende goederen zijn belastbaar in de overeenkomstsluitende Staat waarin de goederen zijn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bepaling van § 1 is van toepassing op inkomsten verkregen uit de rechtstreekse exploitatie of het rechtstreeks genot, uit de verhuring of verpachting, of uit elke andere vorm van exploitatie van onroerende goederen.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4 De bepalingen van de § 1 en 3 zijn ook van toepassing op inkomsten uit onroerende goederen van een onderneming en op inkomsten uit onroerende goederen gebezigd voor de uitoefening van een vrij beroep.</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7. Winsten van ondernemingen.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Onverminderd de toepassing van § 3 worden, indien een onderneming van een overeenkomstsluitende Staat in de andere overeenkomstsluitende Staat haar bedrijf uitoefent met behulp van een aldaar gevestigde vaste inrichting, in elke overeenkomstsluitende Staat aan die vaste inrichting winsten toegerekend die zij zou kunnen behalen indien zij een onafhankelijke en zelfstandige onderneming zou zijn, die dezelfde of soortgelijke werkzaamheden zou uitoefenen onder dezelfde of soortgelijke omstandigheden en die geheel onafhankelijk zou handelen.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Bij het bepalen van de winsten van een vaste inrichting worden als aftrek toegelaten normale kosten die zijn gemaakt ten behoeve van die vaste inrichting, daaronder begrepen kosten van leiding en algemene beheerskosten, aldus gemaakt, hetzij in de Staat waarin de vaste inrichting is gevestigd, hetzij elders.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Bij gebrek aan een regelmatige boekhouding of andere afdoende gegevens die het mogelijk maken het bedrag te bepalen van de winsten van een onderneming van een overeenkomstsluitende Staat, die haar aan haar vaste inrichting in de andere Staat kunnen worden toegerekend, mag de belasting in die andere Staat volgens diens wetgeving worden gevestigd, onder meer met inachtneming van de normale winsten van ondernemingen van diezelfde Staat die een zelfde of soortgelijke werkzaamheden uitoefenen onder dezelfde of soortgelijke omstandigheden. Indien deze methode echter tot dubbele belasting van dezelfde winsten leidt, plegen de bevoegde autoriteiten van beide Staten overleg om de dubbele belasting te vermijden.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Geen winsten worden een vaste inrichting toegerekend enkel op grond van aankoop door die vaste inrichting van goederen voor de onderneming.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6 Voor de toepassing van de voorgaande § worden de winsten die aan de vaste inrichting kunnen worden toegerekend, ieder jaar volgens dezelfde methode bepaald, tenzij er goede en genoegzame reden bestaat om anders te handelen.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7 Indien in de winsten inkomstenbestanddelen zijn begrepen die afzonderlijk in andere artikelen van deze Overeenkomst worden behandeld, beletten de bepalingen van dit artikel niet de toepassing van die andere artikelen voor de belastingheffing van die inkomstenbestanddelen.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7, gewijzigd bij art. 5,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8. Zee- en luchtscheepvaartondernemingen.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Winst uit de exploitatie van schepen of luchtvaartuigen in internationaal verkeer is slechts belastbaar in de overeenkomstsluitende Staat waar de plaats van de werkelijke leiding van de onderneming is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Indien de plaats van de werkelijke leiding van een zeescheepvaartonderneming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bepalingen van § 1 zijn mede van toepassing indien een luchtvaartonderneming van een overeenkomstsluitende Staat deelneemt aan een pool, een gemeenschappelijk bedrijf of een internationaal bedrijfslichaam.</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9. Onderling afhankelijke ondernemingen.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Indien: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een onderneming van een overeenkomstsluitende Staat onmiddellijk of middellijk deelneemt aan de leiding van, aan het toezicht op, dan wel aan de financiering van een onderneming van de andere overeenkomstsluitende Staat, of</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dezelfde personen onmiddellijk of middellijk deelnemen aan de leiding van, aan het toezicht op, dan wel aan de financiering van een onderneming van een overeenkomstsluitende Staat en van de onderneming van de andere overeenkomstsluitende Staat, en in het ene of het andere geval tussen de twee ondernemingen in hun handels-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10. Dividenden.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Dividenden toegekend door een vennootschap die verblijfhouder is van een overeenkomstsluitende Staat aan een verblijfhouder van de andere overeenkomstsluitende Staat, zijn in die andere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 xml:space="preserve">1° Deze dividenden mogen ook in de overeenkomstsluitende Staat waarvan de vennootschap die de dividenden betaalt verblijfhouder is overeenkomstig de wetgeving van die Staat worden belast, maar indien de verkrijger van de dividenden inwoner is van </w:t>
      </w:r>
      <w:r w:rsidRPr="00CA1FC7">
        <w:rPr>
          <w:rFonts w:ascii="Verdana" w:hAnsi="Verdana"/>
          <w:color w:val="444444"/>
          <w:sz w:val="20"/>
          <w:szCs w:val="20"/>
          <w:lang w:val="nl-BE"/>
        </w:rPr>
        <w:lastRenderedPageBreak/>
        <w:t>de andere overeenkomstsluitende Staat, mag de aldus geheven belasting niet hoger zijn dan 15 % van het brutobedrag van deze dividenden.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Indien een vennootschap die verblijfhouder is van een overeenkomstsluitende Staat onmiddellijk ten minste 25 % bezit van het kapitaal van een vennootschap die verblijfhouder is van de andere overeenkomstsluitende Staat, zijn de dividenden die haar door deze laatste vennootschap worden betaald, echter vrijgesteld van belasting in de Staat waarvan de uitkerende vennootschap een verblijfhouder is wanneer de interne wetgeving van die Staat welke ter zake van toepassing is, in zulke vrijstelling voorziet en in overeenstemming met de in die wetgeving vastgestelde bepalingen inzake vrijstelling.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De bepalingen van subparagrafen 1° en 2° van deze paragraaf laten onverlet de belastingheffing van de uitkerende vennootschap ter zake van de winst waaruit de dividenden worden betaald.</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2 gewijzigd bij art. 6,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interne belastingwetgeving van de Staat waarvan de betalende vennootschap verblijfhouder is, worden behandeld als inkomsten uit aandelen.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3 gewijzigd bij art. 6,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De bepalingen van de § 1 en 2 zijn niet van toepassing indien de genieter van de dividenden, verblijfhouder van een overeenkomstsluitende Staat, in de andere overeenkomstsluitende Staat waarvan de vennootschap die de dividenden toekent verblijfhouder is, een vaste inrichting heeft waarmede de participatie die de dividenden oplevert wezenlijk is verbonden. In een zodanig geval zijn de bepalingen van artikel 7 van toepassing: zij vormen geen beletsel voor de heffing van de belasting bij de bron op die dividenden volgens de wetgeving van die andere overeenkomstsluitende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Indien een vennootschap die verblijfhouder is van een overeenkomstsluitende Staat winsten of inkomsten verkrijgt uit de andere overeenkomstsluitende Staat, mag die andere Staat op grond van dit feit alleen geen belasting heffen op de dividenden die door die vennootschap worden uitgekeerd, noch de niet-uitgedeelde winst van de vennootschap onderwerpen aan een bijkomende belasting, zelfs indien de uitgekeerde dividenden niet-uitgedeelde winst geheel of gedeeltelijk bestaan uit winsten of inkomsten die uit die andere Staat afkomstig zijn.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11 - Interest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1 Interest afkomstig uit een overeenkomstsluitende Staat en toegekend aan een verblijfhouder van de andere overeenkomstsluitende Staat is in die andere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Deze interest mag echter in de overeenkomstsluitende Staat waaruit hij afkomstig is overeenkomstig de wetgeving van die Staat worden belast, maar de aldus geheven belasting mag niet hoger zijn dan l0 %van het brutobedrag van de interest.</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2 gewijzigd bij art. 7,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Het woord "interest" betekent in dit artikel inkomsten van overheidsfondsen, van leningsobligaties met of zonder hypothecaire waarborg of recht van deelneming in de winsten, zomede, onder voorbehoud van het volgende lid, van schuldvorderingen of deposito's van allerlei aard, alsmede loten van leningen en alle andere opbrengsten die volgens de belastingwetgeving van de Staat waaruit de inkomsten afkomstig zijn, op dezelfde wijze worden belast als inkomsten van geleende of gedeponeerde gelden.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Het omvat niet: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interest die overeenkomstig artikel 10, paragraaf 3, als dividenden wordt behandeld.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interest van handelsschuldvorderingen - met inbegrip van vorderingen vertegenwoordigd door handelspapier - wegens termijnbetalingen van leveringen van koopwaar, goederen of diensten door een onderneming van een overeenkomstsluitende Staat aan een verblijfhouder van de andere overeenkomstsluitende Staat;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interest van rekeningen-courant of van voorschotten op naam tussen bankondernemingen van beide overeenkomstsluitende Staten;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4° interest van niet in effecten aan toonder verdeelde gelddeposito's bij bankondernemingen, daaronder begrepen openbare kredietinstellingen.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De in 2° tot 4° van vorig lid bedoelde interest is onderworpen aan de regeling van artikel 7 of van artikel 21, naar het geval.</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3, 1°, gewijzigd bij art. 7,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De bepalingen van de § 1 en 2 zijn niet van toepassing indien de genieter van de interest, verblijfhouder van een overeenkomstsluitende Staat, in de andere overeenkomstsluitende Staat waaruit de interest afkomstig is, een vaste inrichting heeft waarmede de schuldvordering of het deposito, die de interest opleveren, wezenlijk zijn verbonden. In een zodanig geval zijn de bepalingen van artikel 7 van toepassing; zij vormen geen beletsel voor de heffing van de belasting bij de bron op die interest volgens de wetgeving van die andere overeenkomstsluitende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5 Interest wordt geacht uit een overeenkomstsluitende Staat afkomstig te zijn als de schuldenaar die Staat zelf is, een staatkundig onderdeel of een plaatselijke gemeenschap daarvan, of een verblijfhouder van die Staat. Indien nochtans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afkomstig te zijn uit de overeenkomstsluitende Staat waarin de vaste inrichting is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6 Indien, ten gevolge van een bijzondere verhouding tussen de schuldenaar en de schuldeiser of deponent of tussen hen beide en derden, het bedrag van de toegekende interest, gelet op de schuldvordering of het deposito waarvoor hij toegekend is, hoger is dan het bedrag dat zonder zulk een verhouding door de schuldenaar en de schuldeiser of deponent zou zijn overeengekomen, is de tariefbeperking volgens § 2 slechts op het laatstbedoelde bedrag van toepassing. In een zodanig geval is het daarboven uitgaande deel van de interest in de overeenkomstsluitende Staat waaruit de interest afkomstig is belastbaar volgens de wetgeving van die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12. Royalty's.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Royalty's afkomstig uit een overeenkomstsluitende Staat en toegekend aan een verblijfhouder van de andere overeenkomstsluitende Staat zijn in die andere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Het woord "royalty's" betekent in dit artikel betalingen van elke aard als vergoeding voor het gebruik of voor het recht van gebruik van een auteursrecht op een werk op het gebied van letterkunde, kunst of wetenschap, films daaronder begrepen, van een octrooi, van een fabrieks- of handelsmerk, van een ontwerp of model, van een plan, van een geheim recept of werkwijze, dan wel voor het gebruik of voor het recht van gebruik van een nijverheids-, handels-, of wetenschappelijke uitrusting die geen onroerend goed is als bedoeld in artikel 6, of voor inlichtingen omtrent ervaringen op het gebied van nijverheid, handel of wetenschap.</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bepaling van § 1 is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een zodanig geval zijn de bepalingen van artikel 7 van toepassing.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Royalty's worden geacht uit een overeenkomstsluitende Staat herkomstig te zijn als de schuldenaar de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draagt, worden die royalty's geacht herkomstig te zijn uit de overeenkomstsluitende Staat waarin de vaste inrichting is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xml:space="preserve">§ 5 Indien, ten gevolge van een bijzondere verhouding tussen de schuldenaar en de genieter of tussen hen beiden en derden het bedrag van de royalty's, gelet op de prestatie waarvoor zij worden toegekend, hoger is dan het normale bedrag dat zonder zulk een verhouding door de schuldenaar en de genieter zou zijn overeengekomen, is de bepaling van § 1 slechts op het laatstbedoelde bedrag van toepassing. In een zodanig </w:t>
      </w:r>
      <w:r w:rsidRPr="00CA1FC7">
        <w:rPr>
          <w:rFonts w:ascii="Verdana" w:hAnsi="Verdana"/>
          <w:color w:val="444444"/>
          <w:sz w:val="20"/>
          <w:szCs w:val="20"/>
          <w:lang w:val="nl-BE"/>
        </w:rPr>
        <w:lastRenderedPageBreak/>
        <w:t>geval is het daarboven uitgaande de deel van de royalty's in de overeenkomstsluitende de Staat waaruit de royalty's herkomstig zijn belastbaar volgens de wetgeving van die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13. Vermogenswinsten.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Winsten verkregen uit de vervreemding van onroerende goederen, als omschreven in artikel 6, zijn belastbaar in de overeenkomstsluitende Staat waarin de goederen zijn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Winsten verkregen uit de vervreemding van roerende goederen, deel uitmakende van het bedrijfsvermogen van een vaste inrichting die een onderneming van een overeenkomstsluitende Staat in de andere overeenkomstsluitende Staat heeft, of van roerende zaken behorende tot een vaste basis die een verblijfhouder van een overeenkomstsluitende Staat in een andere overeenkomstsluitende Staat voor de uitoefening van een vrij beroep tot zijn beschikking heeft, daaronder begrepen winsten verkregen uit de vervreemding van de vaste inrichting (alleen of te zamen met de gehele onderneming) of van de vaste basis, zijn in de andere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Winsten verkregen uit de vervreemding van schepen of luchtvaartuigen geëxploiteerd in internationaal verkeer, of winsten verkregen uit de vervreemding van schepen, luchtvaartuigen, sleepboten, duwboten of kettingsleepboten die worden gebruikt in verband met werkzaamheden buitengaats waarop artikel 2Obis van toepassing is, alsmede van roerende goederen die bij de exploitatie van die schepen, luchtvaartuigen, sleepboten, duwboten of kettingsleepboten worden gebruikt, zijn echter slechts belastbaar in de overeenkomstsluitende Staat waar de plaats van de werkelijke leiding van de onderneming is gelegen.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2, tweede zin, gewijzigd bij art. 8,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Winsten verkregen uit de vervreemding van alle andere goederen daaronder begrepen een participatie - welke geen deel uitmaakt van het bedrijfsvermogen van een vaste inrichting als bedoeld in § 2, lid 1 - in een vennootschap op aandelen zijn slechts belastbaar in de overeenkomstsluitende Staat waarvan de vervreemder verblijfhouder is.</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14. Vrije beroepen.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Inkomsten verkregen door een verblijfhouder van een overeenkomstsluitende Staat uit de uitoefening van een vrij beroep of andere zelfstandige werkzaamheden van soortgelijke aard zijn slechts in de Staat belastbaar, tenzij die verblijfhouder in de andere Staat voor het verrichten van zijn werkzaamheden geregeld over een vaste basis beschikt. Indien hij over zulks een vaste basis beschikt, zijn de inkomsten in de andere Staat belastbaar, maar slechts voor zover zij aan die vaste basis kunnen worden toegerekend.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2 De uitdrukking "vrij beroep" omvat met name zelfstandige werkzaamheden op het gebied van wetenschap, letterkunde, kunst, opvoeding of onderwijs, alsmede de zelfstandige werkzaamheden van artsen, advocaten, ingenieurs, architecten, tandartsen en accountants.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15. Niet-zelfstandige beroepen.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Onder voorbehoud van de bepalingen van de artikelen 16, 17, 18, 19 en 20,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de andere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§2 Inafwijking van § 1 en onder het aldaar vermelde voorbehoud zijn beloningen verkregen door een verblijfhouder van een overeenkomstsluitende Staat ter zake van een in de andere overeenkomstsluitende Staat uitgeoefende dienstbetrekking slechts in de eerstbedoelde Staat belastbaar, indien: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de genieter in de andere Staat verblijft gedurende een tijdvak of tijdvakken die in het kalenderjaar een totaal van 183 dagen niet te boven gaan;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de beloningen worden betaald door of namens een werkgever die geen verblijfhouder van de andere Staat is, 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de last van de beloningen als zodanig niet wordt gedragen door een vaste inrichting of een vaste basis, die de werkgever in de andere Staat heeft.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Beloningen ter zake van een dienstbetrekking uitgeoefend aan boord van een schip in internationaal verkeer worden geacht betrekking te hebben op werkzaamheden uitgeoefend in de overeenkomstsluitende Staat, waarin de plaats van de werkelijke leiding van de onderneming is gelegen en zijn in die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16. Vennootschapsleiding.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Tantièmes, presentiegelden en andere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mogen in die andere Staat worden belast.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xml:space="preserve">§ 2 Beloningen die een persoon, op wie paragraaf 1 van toepassing is, van de vennootschap verkrijgt ter zake van de uitoefening van dagelijkse werkzaamheden van leidinggevende of van technische aard, en inkomsten die een verblijfhouder van een overeenkomstsluitende Staat verkrijgt ter zake van zijn persoonlijke werkzaamheid als </w:t>
      </w:r>
      <w:r w:rsidRPr="00CA1FC7">
        <w:rPr>
          <w:rFonts w:ascii="Verdana" w:hAnsi="Verdana"/>
          <w:color w:val="444444"/>
          <w:sz w:val="20"/>
          <w:szCs w:val="20"/>
          <w:lang w:val="nl-BE"/>
        </w:rPr>
        <w:lastRenderedPageBreak/>
        <w:t>vennoot in een vennootschap - niet zijnde een vennootschap op aandelen - die verblijfhouder is van de andere overeenkomstsluitende Staat, mogen worden belast in de overeenkomstsluitende Staat waar zulke persoon of verblijfhouder zijn werkzaamheid uitoefent.</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Gewijzigd bij art. 9,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17. Artiesten en sportbeoefenaars.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Niettegenstaande de bepalingen van de artikelen 14 en 15 zijn inkomsten, welke beroepsartiesten, zoals toneelspelers, film-, radio- of televisieartiesten en musici, alsmede sportbefoefenaars, als zodanig verkrijgen uit hun persoonlijke zelfstandige werkzaamheden, belastbaar in de overeenkomstsluitende Staat waarin die werkzaamheden worden verricht.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18. Pensioenen.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Onder voorbehoud van de bepalingen van de volgende paragrafen en van artikel 19, paragraaf 1, is elk pensioen of elke lijfrente betaald aan een verblijfhouder van een overeenkomstsluitende Staat, slechts in die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de genoemde wetgeving voorziet, zijn slechts in die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Pensioenen en andere uitkeringen die voortkomen uit een algemeen stelsel dat in een overeenkomstsluitende Staat is opgericht en die worden betaald aan een verblijfhouder van de andere overeenkomstsluitende Staat, zijn slechts in die andere Staat belastbaar. In het geval van een natuurlijke persoon die verblijfhouder was van de eerstgenoemde Staat en die verblijfhouder werd van de laatstgenoemde Staat, zijn die pensioenen en uitkeringen evenwel belastbaar in de eerstgenoemde Staat indien de premies terzake van dat pensioenstelsel voor de belastingheffing in die Staat aftrekbaar waren of indien de premies niet geacht worden in die Staat belastbare inkomsten te zijn.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De uitdrukking "pensioen", zoals gebezigd in paragraaf 1, betekent betalingen gedaan terzake van een vroegere dienstbetrekking of als vergoeding voor bekomen letsel.</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De uitdrukking "lijfrente", betekent een vaste som, periodiek betaalbaar op vaste tijdstippen, gedurende het leven of gedurende een vastgesteld of voor vaststelling vatbaar tijdvak, ingevolge een verbintenis tot het doen van betalingen, welke tegenover een voldoende en volledige tegenprestatie in geld of geldswaarde staat.</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Gewijzigd bij art. 10,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19. Openbare beloningen en pensioenen.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Beloningen, daaronder begrepen pensioenen, door een overeenkomstsluitende Staat of door een staatkundig onderdeel of een plaatselijke gemeenschap daarvan, ofwel rechtstreeks ofwel uit door hen in het leven geroepen fondsen betaald ter zake van diensten bewezen aan die Staat of aan dat staatkundig onderdeel of plaatselijke gemeenschap daarvan, zijn slechts in die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Deze bepaling is niet van toepassing indien de genieter van de inkomsten onderdaan is van de andere Staat zonder terzelfdertijd onderdaan te zijn van de eerstbedoelde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 1 is niet van toepassing op beloningen of pensioenen ter zake van diensten verricht in verband met enige handels- of nijverheidsbedrijf uitgeoefend door een overeenkomstsluitende Staat, door een staatkundig onderdeel of een plaatselijke gemeenschap daarvan.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20. Leraren en studenten, leerlingen of stagiairs.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Hoogleraren en andere leden van het onderwijzend personeel, die verblijfhouder van een overeenkomstsluitende Staat zijn en tijdelijk in de andere overeenkomstsluitende Staat verblijven om aldaar gedurende een tijdvak van ten hoogste twee jaar onderwijs te geven of wetenschappelijk onderzoek te verrichten aan een universiteit of een andere onderwijsinrichting of wetenschappelijke instelling zonder winstoogmerken zijn, ter zake van beloningen die zij daarvoor verkrijgen, slechts in de eerstbedoelde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Betalingen die een student, een leerling of een voor een beroep of bedrijf opgeleid wordende persoon, die verblijfhouder van een overeenkomstsluitende Staat is of vroeger was en die in de andere overeenkomstsluitende Staat tijdelijk verblijft uitsluitend voor zijn studie of opleiding ontvangt ten behoeve van zijn onderhoud, studie of opleiding, zijn in die andere Staat niet belastbaar, op voorwaarde dat die betalingen afkomstig zijn uit bronnen buiten die andere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20bis. Werkzaamheden buitengaats in verband met de exploratie of exploitatie van koolwaterstoffen.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Niettegenstaande de vorige bepalingen van deze Overeenkomst zijn de bepalingen van dit artikel van toepassing indien in een overeenkomstsluitende Staat werkzaamheden buitengaats worden verricht in verband met de exploratie of exploitatie van in die Staat gelegen koolwaterstoffen, voorzover die werkzaamheden niet worden verricht door de persoon aan wie de exploratie- of exploitatievergunning is gegeven. De hierboven bedoelde vorige bepalingen zijn van toepassing terzake van werkzaamheden of inkomsten waarop dit artikel niet van toepassing is.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2 Een onderneming van een overeenkomstsluitende Staat of een persoon die een vrij beroep uitoefent en die verblijfhouder is van een overeenkomstsluitende Staat, en die in de andere overeenkomstsluitende Staat werkzaamheden buitengaats verricht die zijn bedoeld in de eerste zin van paragraaf 1, wordt geacht die werkzaamheden in die andere overeenkomstsluitende Staat uit te oefenen door middel van een aldaar gevestigde vaste inrichting of vaste basis.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bepalingen van paragraaf 2 zijn niet van toepassing indien de werkzaamheden buitengaats worden verricht gedurende een tijdvak of tijdvakken die in enig tijdperk van 12 maanden een totaal van 30 dagen niet te boven gaan.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Niettegenstaande de bepalingen van paragrafen 2 en 3, vormen de werkzaamheden buitengaats van boorinrichtingen slechts een vaste inrichting wanneer de werkzaamheden worden uitgeoefend gedurende een tijdvak of tijdvakken die in enig tijdperk van 18 maanden een totaal van 365 dagen te boven gaan.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Voor de toepassing van paragrafen 3 en 4 worden werkzaamheden die worden verricht door een onderneming die van een andere onderneming afhankelijk is in de zin van artikel 9 (Onderling afhankelijke ondernemingen) beschouwd te zijn verricht door die andere onderneming, indien die werkzaamheden voor een wezenlijk deel van dezelfde aard zijn als de werkzaamheden welke door de laatstbedoelde onderneming worden verricht.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6 Niettegenstaande de bepalingen van paragrafen 2 en 3 zijn winsten van een onderneming van een overeenkomstsluitende Staat uit het vervoer van voorraden of personeel per schip of luchtvaartuig naar een buitengaats gelegen plaats waar werkzaamheden in verband met de exploratie of exploitatie van koolwaterstoffen in de andere overeenkomstsluitende Staat worden verricht en winsten van een onderneming van een overeenkomstsluitende Staat uit de exploitatie van sleepboten, duwboten of kettingsleepboten in verband met die werkzaamheden, slechts belastbaar in de overeenkomstsluitende Staat waar de plaats van de werkelijke leiding van de onderneming is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7 Salarissen, lonen en andere soortgelijke beloningen verkregen door een verblijfhouder van een overeenkomstsluitende Staat terzake van een dienstbetrekking uitgeoefend aan boord van een schip, luchtvaartuig, sleepboot, duwboot of kettingsleepboot bedoeld in paragraaf 6, zijn belastbaar in de overeenkomstsluitende Staat waar de plaats van de werkelijke leiding van de onderneming is gelegen.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Ingevoegd bij art. 11,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21. Niet uitdrukkelijk vermelde inkomsten.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Een verblijfhouder van een overeenkomstsluitende Staat is in de andere overeenkomstsluitende Staat niet belastbaar ter zake van bestanddelen van zijn inkomen die naar hun aard of hun herkomst niet in de voorgaande artikelen zijn vermeld, indien hij volgens de wetgeving van de eerstbedoelde Staat aldaar belastbaar is ter zake van die bestanddelen van het inkomen.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IV. Belastingheffing naar het vermogen.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22.</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Vermogen bestaande uit onroerende goederen, als omschreven in artikel 6, § 2, is belastbaar in de overeenkomstsluitende Staat waar die goederen zijn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Onder voorbehoud van de bepalingen van § 3, is vermogen bestaande uit roerende zaken die deel uitmaken van het bedrijfsvermogen van een vaste inrichting van een onderneming, of uit roerende zaken die behoren tot een vaste basis gebezigd voor de uitoefening van een vrij beroep, belastbaar in de overeenkomstsluitende Staat waar de vaste inrichting of basis is gelegen.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Schepen en luchtvaartuigen die in internationaal verkeer worden gebruikt en schepen, luchtvaartuigen, sleepboten, duwboten en kettingsleepboten die worden gebruikt in verband met werkzaamheden buitengaats welke zijn bedoeld in artikel 20bis , alsmede roerende zaken die voor de exploitatie van die schepen, luchtvaartuigen, sleepboten, duwboten en kettingsleepboten worden gebezigd, zijn slechts belastbaar in de overeenkomstsluitende Staat waar de plaats van de werkelijke leiding van de onderneming is gelegen.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3, gewijzigd bij art. 12,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Alle andere vermogensbestanddelen van een verblijfhouder van een overeenkomstsluitende Staat - daaronder begrepen een deelneming in een onderneming die wordt gedreven door een vennootschap op aandelen - zijn slechts in die Staat belastbaar.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V. Bepalingen tot voorkoming van dubbele belasting.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23.</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§1 InBelgië wordt dubbele belasting op de volgende wijze vermeden :</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Indien een verblijfhouder van België inkomsten verkrijgt of bestanddelen van een vermogen bezit die ingevolge de bepalingen van deze Overeenkomst, niet zijnde de bepalingen van artikel 10, paragraaf 2, van artikel 11, paragrafen 2 en 6, en van artikel 12, paragrafen 2 en5, inDenemarken mogen worden belast, stelt België deze inkomsten of deze bestanddelen van vermogen vrij van belasting, maar om het bedrag van de belasting op het overige inkomen of vermogen van die verblijfhouder te berekenen mag België het belastingtarief toepassen dat van toepassing zou zijn indien die inkomsten of die bestanddelen van het vermogen niet waren vrijgesteld.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2° Onder voorbehoud van de bepalingen van de Belgische wetgeving betreffende de verrekening van in het buitenland betaalde belastingen met de Belgische belasting wordt, indien een verblijfhouder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3° hierna, uit interest die belastbaar is ingevolge artikel 11, paragrafen 2 of 6, of uit royalty's die belastbaar zijn ingevolge artikel 12, paragrafen 2 of 5, de op die inkomsten geheven Deense belasting in mindering gebracht van de Belgische belasting op die inkomsten.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Dividenden die een vennootschap die verblijfhouder is van België verkrijgt van een vennootschap die verblijfhouder is van Denemarken en die in Denemarken ingevolge artikel 10, paragraaf 2, mogen worden belast, worden in België vrijgesteld van de vennootschapsbelasting op de voorwaarden en binnen de grenzen die in de Belgische wetgeving zijn bepaald.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4° Indien verliezen die een onderneming gedreven door een verblijfhouder van België in een in Denemarken gelegen vaste inrichting heeft geleden, voor de belastingheffing van die onderneming in België volgens de Belgische wetgeving werkelijk in mindering van de winsten van die onderneming zijn gebracht, is de vrijstelling ingevolge subparagraaf 1° in België niet van toepassing op de winst van andere belastbare tijdperken die aan die inrichting kan worden toegerekend, in zoverre als deze winst ook in Denemarken door de verrekening van die verliezen van belasting is vrijgesteld.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§2 InDenemarken wordt dubbele belasting op de volgende wijze vermeden :</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Onder voorbehoud van de bepalingen van subparagrafen 3° en 4° wordt in Denemarken, indien een verblijfhouder van Denemarken inkomsten verkrijgt of vermogensbestanddelen bezit die ingevolge de bepalingen van de Overeenkomst in België mogen worden belast :</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a)</w:t>
      </w:r>
      <w:r w:rsidRPr="00CA1FC7">
        <w:rPr>
          <w:rFonts w:ascii="Verdana" w:hAnsi="Verdana"/>
          <w:color w:val="444444"/>
          <w:sz w:val="20"/>
          <w:szCs w:val="20"/>
          <w:lang w:val="nl-BE"/>
        </w:rPr>
        <w:t> de belasting op het inkomen van die verblijfhouder verminderd met een bedrag dat gelijk is aan de in België betaalde inkomstenbelasting;</w:t>
      </w:r>
    </w:p>
    <w:p w:rsidR="00CA1FC7" w:rsidRPr="00CA1FC7" w:rsidRDefault="00CA1FC7" w:rsidP="00CA1FC7">
      <w:pPr>
        <w:pStyle w:val="opsomming2"/>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b)</w:t>
      </w:r>
      <w:r w:rsidRPr="00CA1FC7">
        <w:rPr>
          <w:rFonts w:ascii="Verdana" w:hAnsi="Verdana"/>
          <w:color w:val="444444"/>
          <w:sz w:val="20"/>
          <w:szCs w:val="20"/>
          <w:lang w:val="nl-BE"/>
        </w:rPr>
        <w:t> de belasting op het vermogen van die verblijfhouder verminderd met een bedrag dat gelijk is aan de in België betaalde vermogensbelasting.</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Die vermindering mag in beide gevallen evenwel niet hoger zijn dan het deel van de inkomstenbelasting of vermogensbelasting, berekend voor de vermindering dat, naar het geval, evenredig betrekking heeft op de in België belastbare inkomsten of vermogensbestanddelen.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3° Dividenden die door een vennootschap die verblijfhouder is van België worden betaald aan een vennootschap die verblijfhouder is van Denemarken en die onmiddellijk ten minste 25 % van het aandelenkapitaal bezit van de vennootschap die de dividenden uitkeert, worden in Denemarken vrijgesteld van belasting op de voorwaarden die in de Deense wetgeving zijn bepaald.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4° Ingeval dividenden worden betaald door een vennootschap die verblijfhouder is van België aan een vennootschap die verblijfhouder is van Denemarken en die onmiddellijk ten minste 25 % van het aandelenkapitaal bezit van de vennootschap die de dividenden uitkeert, wordt, indien de dividenden niet worden vrijgesteld van Deense belasting overeenkomstig de bepalingen van subparagraaf 3°, bij de vermindering voor de toepassing van subparagraaf 1° ook rekening gehouden met de Belgische belasting die verschuldigd is door de vennootschap die de dividenden uitkeert terzake van de winst waaruit die dividenden worden betaald.</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5° Indien een verblijfhouder van Denemarken inkomsten verkrijgt of vermogen bezit die volgens de bepalingen van de Overeenkomst uitsluitend in België belastbaar zijn, mag Denemarken die inkomsten of dat vermogen in de belastbare grondslag begrijpen, maar wordt de inkomstenbelasting of de vermogensbelasting verminderd met het deel van de inkomstenbelasting of vermogensbelasting dat, naar het geval, evenredig betrekking heeft op de inkomsten verkregen in België of het vermogen gehouden in België.</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Gewijzigd bij art. 13,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VI: Bijzondere bepalingen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24 - Non-discriminatie</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 uitdrukking "onderdanen" betekent: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alle natuurlijke personen die de nationaliteit van een overeenkomstsluitende Staat bezitten;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2° alle vennootschappen opgericht overeenkomstig de wetgeving die van kracht is in een overeenkomstsluitende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Staatlozen worden in een overeenkomstsluitende Staat niet onderworpen aan enige belastingheffing of daarmede verbandhoudende verplichting die anders of drukkender is dan de belastingheffing en daarmede verband houdende verplichtingen, waar onderdanen van die Staat onder gelijke omstandigheden zijn of kunnen worden onderworpen.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Natuurlijke personen die verblijfhouder zijn van een overeenkomstsluitende Staat en die in de andere overeenkomstsluitende Staat belastbaar zijn, genieten aldaar voor de vestiging van de in artikel 2 bedoelde belastingen de vrijstellingen, aftrekken, verminderingen en andere tegemoetkomingen, die uit hoofde van gezinslasten worden verleend aan natuurlijke personen die onderdaan maar geen verblijfhouder zijn van die andere Staat.</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4 gewijzigd bij art. 14,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Deze bepaling mag niet aldus worden uitgelegd dat zij België belet :</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het bedrag van de winst die kan worden toegerekend aan een Belgische vaste inrichting van een vennootschap die verblijfhouder is van Denemarken aan de belasting te onderwerpen tegen het tarief dat door de Belgische wetgeving is bepaald, op voorwaarde dat het genoemde tarief niet hoger is dan het maximumtarief dat van toepassing is op de winsten van vennootschappen die verblijfhouders zijn van België;</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roerende voorheffing te heffen van dividenden uit een deelneming die wezenlijk is verbonden met een in België gelegen vaste inrichting van een vennootschap die verblijfhouder is van Denemarken.</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 5 gewijzigd bij art. 14,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6 Behoudens het geval van toepassing van de artikelen 9, 11, § 6 en 12, § 5, kunnen interest, royalty's en andere kosten, die door een onderneming van een overeenkomstsluitende Staat aan een verblijfhouder van de andere overeenkomstsluitende Staat worden betaald, voor de vaststelling van de belastbare winsten van die onderneming in mindering worden gebracht op dezelfde voorwaarden, alsof zij aan een verblijfhouder van de eerstbedoelde Staat zouden zijn betaald.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Evenzo worden de schulden van een onderneming van een overeenkomstsluitende Staat tegenover een verblijfhouder van de andere overeenkomstsluitende Staat voor de vaststelling van het belastbare vermogen van die onderneming in mindering gebracht op dezelfde voorwaarden, alsof zij tegenover een verblijfhouder van de eerstbedoelde Staat zouden zijn aangegaan.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7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§8 Indit artikel betekent de uitdrukking "belastingheffing" belastingen van elke soort en benaming.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25. Regeling voor onderling overleg.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xml:space="preserve">§ 1 Indien een verblijfhouder van een overeenkomstsluitende Staat van oordeel is dat de maatregelen van een overeenkomstsluitende Staat of van beide Staten voor hem leiden of zullen leiden tot een dubbele belastingheffing die niet in overeenstemming is met deze </w:t>
      </w:r>
      <w:r w:rsidRPr="00CA1FC7">
        <w:rPr>
          <w:rFonts w:ascii="Verdana" w:hAnsi="Verdana"/>
          <w:color w:val="444444"/>
          <w:sz w:val="20"/>
          <w:szCs w:val="20"/>
          <w:lang w:val="nl-BE"/>
        </w:rPr>
        <w:lastRenderedPageBreak/>
        <w:t>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vanaf de inning bij de bron van de tweede aanslag.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 in § 1 bedoelde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bevoegde autoriteiten van de overeenkomstsluitende Staten trachten moeilijkheden of twijfelpunten die mochten rijzen met betrekking tot de toepassing van de Overeenkomst, in onderlinge overeenstemming op te lossen.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De bevoegde autoriteiten van de overeenkomstsluitende Staten plegen overleg omtrent de administratieve maatregelen die voor de uitvoering van de bepalingen van de Overeenkomst nodig zijn en met name omtrent de bewijzen die de verblijfhouders van elke Staat moeten voorleggen om in de andere Staat de bij deze Overeenkomst vastgestelde belastingvrijstellingen of -verminderingen te genieten.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26. Uitwisseling van inlichtingen.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of de Deense plaatselijke gemeenschappen, voor zover de belastingheffing waarin die nationale wetgeving voorziet niet in strijd is met de Overeenkomst. De uitwisseling van inlichtingen wordt niet beperkt door de artikelen 1 en 2.</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In geen geval mogen de bepalingen van de paragrafen 1 en 2 aldus worden uitgelegd dat zij een overeenkomstsluitende Staat de verplichting opleggen :</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lastRenderedPageBreak/>
        <w:t>(a)</w:t>
      </w:r>
      <w:r w:rsidRPr="00CA1FC7">
        <w:rPr>
          <w:rFonts w:ascii="Verdana" w:hAnsi="Verdana"/>
          <w:color w:val="444444"/>
          <w:sz w:val="20"/>
          <w:szCs w:val="20"/>
          <w:lang w:val="nl-BE"/>
        </w:rPr>
        <w:t> administratieve maatregelen te nemen die afwijken van de wetgeving en de administratieve praktijk van die of van de andere overeenkomstsluitende Staat;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(b)</w:t>
      </w:r>
      <w:r w:rsidRPr="00CA1FC7">
        <w:rPr>
          <w:rFonts w:ascii="Verdana" w:hAnsi="Verdana"/>
          <w:color w:val="444444"/>
          <w:sz w:val="20"/>
          <w:szCs w:val="20"/>
          <w:lang w:val="nl-BE"/>
        </w:rPr>
        <w:t> inlichtingen te verstrekken die niet verkrijgbaar zijn volgens de wetgeving of in de normale gang van de administratieve werkzaamheden van die of van de andere overeenkomstsluitende Staat;</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Style w:val="Nadruk"/>
          <w:rFonts w:ascii="Verdana" w:hAnsi="Verdana"/>
          <w:color w:val="444444"/>
          <w:sz w:val="20"/>
          <w:szCs w:val="20"/>
          <w:lang w:val="nl-BE"/>
        </w:rPr>
        <w:t>(c)</w:t>
      </w:r>
      <w:r w:rsidRPr="00CA1FC7">
        <w:rPr>
          <w:rFonts w:ascii="Verdana" w:hAnsi="Verdana"/>
          <w:color w:val="444444"/>
          <w:sz w:val="20"/>
          <w:szCs w:val="20"/>
          <w:lang w:val="nl-BE"/>
        </w:rPr>
        <w:t> inlichtingen te verstrekken die een handels-, bedrijfs-, nijverheids- of beroepsgeheim of een handelswerkwijze zouden onthullen, dan wel inlichtingen waarvan het verstrekken in strijd zou zijn met de openbare orde.</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Gewijzigd bij art. 1, Prot. 07.07.2009</w:t>
      </w:r>
      <w:r w:rsidRPr="00CA1FC7">
        <w:rPr>
          <w:rStyle w:val="Zwaar"/>
          <w:rFonts w:ascii="Verdana" w:hAnsi="Verdana"/>
          <w:color w:val="444444"/>
          <w:sz w:val="20"/>
          <w:szCs w:val="20"/>
          <w:lang w:val="nl-BE"/>
        </w:rPr>
        <w:t> </w:t>
      </w:r>
      <w:r w:rsidRPr="00CA1FC7">
        <w:rPr>
          <w:rFonts w:ascii="Verdana" w:hAnsi="Verdana"/>
          <w:color w:val="444444"/>
          <w:sz w:val="20"/>
          <w:szCs w:val="20"/>
          <w:lang w:val="nl-BE"/>
        </w:rPr>
        <w:t>goedgekeurd bij W. 19.08.2011 (B.S. 17.09.2013), met ingang van 18.07.2013.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27. Invorderingsbijstand.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De overeenkomstsluitende Staten nemen op zich elkander hulp en bijstand te verlenen voor de betekening en de invordering van de in artikel 2 bedoelde belastingen in hoofdsom, verhogingen, opcentiemen, interesten, kosten en boeten van niet strafrechtelijke aard.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 1 bedoelde belastingvorderingen in die eerstbedoelde Staat eisbaar zijn. Zodanige vorderingen genieten geen enkel voorrecht in de aangezochte Staat en deze is niet gehouden uitvoeringsmiddelen aan te wenden die niet toegelaten zijn door de wetten of de regels van de verzoekende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 3 De in § 2 bedoelde verzoekschriften worden gestaafd met een officieel afschrift van de uitvoerbare titels, eventueel vergezeld van een officieel afschrift van de beslissingen die het gezag van het gewijsde hebben verworven.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 1 tot 3 zijn mutatis mutandis op die maatregelen van toepassing.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5 Artikel 26, § 1, lid 2, is mede van toepassing op elke inlichting die, ingevolge dit artikel, ter kennis van de bevoegde autoriteiten van de aangezochte Staat wordt gebracht.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28. Varia.</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De bepalingen van de Overeenkomst tasten in geen enkel opzicht de fiscale voorrechten aan, die leden van diplomatieke zendingen of consulaire posten ontlenen aan de algemene regelen van het volkenrecht of aan de bepalingen van bijzondere akkoorden.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Voor de toepassing van de Overeenkomst worden de leden van een diplomatieke zending of een consulaire post van een overeenkomstsluitende Staat die in de andere overeenkomstsluitende Staat of in een derde Staat geaccrediteerd zijn en die de nationaliteit van de Zendstaat bezitten, geacht verblijfhouder van die Staat te zijn indien zij aldaar, op het stuk van belastingen naar het inkomen en naar het vermogen, aan dezelfde verplichtingen onderworpen zijn als de verblijfhouders van die Staat.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Overeenkomst is niet van toepassing op internationale organisaties, hun organen of hun ambtenaren, noch op de leden van een diplomatieke zending of een consulaire post van een derde Staat, wanneer deze zich op het grondgebied van een overeenkomstsluitende Staat bevinden en op het stuk van belastingen naar het inkomen en naar het vermogen in de ene of de andere overeenkomstsluitende Staat niet als verblijfhouders worden behandeld.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4 De Ministers van Financiën van de overeenkomstsluitende Staten of hun lasthebbers stellen zich rechtstreeks met elkander in verbinding voor de toepassing van de Overeenkomst.</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brovermintekst"/>
        <w:shd w:val="clear" w:color="auto" w:fill="FFFFFF"/>
        <w:rPr>
          <w:rFonts w:ascii="Verdana" w:hAnsi="Verdana"/>
          <w:color w:val="444444"/>
          <w:sz w:val="20"/>
          <w:szCs w:val="20"/>
          <w:lang w:val="nl-BE"/>
        </w:rPr>
      </w:pPr>
      <w:r w:rsidRPr="00CA1FC7">
        <w:rPr>
          <w:rFonts w:ascii="Verdana" w:hAnsi="Verdana"/>
          <w:color w:val="444444"/>
          <w:sz w:val="20"/>
          <w:szCs w:val="20"/>
          <w:lang w:val="nl-BE"/>
        </w:rPr>
        <w:t>Gewijzigd bij art. 15, Prot. 27.09.1999 goedgekeurd bij W. 27.02.2003 (B.S. 20.10.2003), met ingang van 25.04.2003.</w:t>
      </w:r>
    </w:p>
    <w:p w:rsidR="00CA1FC7" w:rsidRPr="00CA1FC7" w:rsidRDefault="00CA1FC7" w:rsidP="00CA1FC7">
      <w:pPr>
        <w:pStyle w:val="bronvermlijn"/>
        <w:shd w:val="clear" w:color="auto" w:fill="FFFFFF"/>
        <w:rPr>
          <w:rFonts w:ascii="Verdana" w:hAnsi="Verdana"/>
          <w:color w:val="444444"/>
          <w:sz w:val="20"/>
          <w:szCs w:val="20"/>
          <w:lang w:val="nl-BE"/>
        </w:rPr>
      </w:pPr>
      <w:r w:rsidRPr="00CA1FC7">
        <w:rPr>
          <w:rFonts w:ascii="Verdana" w:hAnsi="Verdana"/>
          <w:color w:val="444444"/>
          <w:sz w:val="20"/>
          <w:szCs w:val="20"/>
          <w:lang w:val="nl-BE"/>
        </w:rPr>
        <w:t>--------------------</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29. Uitbreiding tot andere gebieden.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xml:space="preserve">§ 1 Deze Overeenkomst kan ongewijzigd of met noodzakelijke wijzigingen worden uitgebreid tot geheel of tot elk deel van het grondgebied van Denemarken dat niet onder de toepassing van de Overeenkomst valt en dat gelijksoortige belastingen heft als de </w:t>
      </w:r>
      <w:r w:rsidRPr="00CA1FC7">
        <w:rPr>
          <w:rFonts w:ascii="Verdana" w:hAnsi="Verdana"/>
          <w:color w:val="444444"/>
          <w:sz w:val="20"/>
          <w:szCs w:val="20"/>
          <w:lang w:val="nl-BE"/>
        </w:rPr>
        <w:lastRenderedPageBreak/>
        <w:t>belastingen waarop de Overeenkomst van toepassing is. Zodanige uitbreiding treedt in werking met ingang van de datum, met de wijzigingen en op de voorwaarden - daaronder begrepen de voorwaarden met betrekking tot de beëindiging - welke tussen de overeenkomstsluitende Staten in onderlinge overeenstemming worden vastgelegd bij diplomatieke notawisseling of op andere wijze in overeenstemming met hun grondwettelijke bepalingen.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Tenzij door de twee overeenkomstsluitende Staten anders is overeengekomen, zal de opzegging van de Overeenkomst door een van hen op grond van artikel 31, op de in dat artikel bepaalde voorwaarden een einde maken aan de toepassing van de Overeenkomst ten opzichte van elk deel van het grondgebied Denemarken waartoe zij overeenkomstig dit artikel is uitgebreid.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VII. Slotbepalingen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30. Inwerkingtreding en schorsing van vroegere overeenkomsten.</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1 Deze Overeenkomst zal in werking treden op de vijftiende dag die volgt op de dag waarop de overeenkomstsluitende Staten elkander zullen hebben betekend dat de volgens hun Grondwet vereiste procedure is vervuld.</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2 De bepalingen van de Overeenkomst zullen van toepassing zijn: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op de bij de bron verschuldigde belastingen met betrekking tot inkomsten welke normaal zijn toegekend of betaalbaar gesteld na 31 december van het jaar waarin de Overeenkomst volgens §1 inwerking is getreden;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2° op de andere belastingen geheven naar de inkomsten van belastbare tijdperken eindigend na 31 december van hetzelfde jaar.</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3 De bepalingen van de op 21 december 1928 tussen België en Denemarken gesloten Overeenkomst ter vermijding van dubbele belasting van de inkomsten van scheepvaartondernemingen en de op 25 oktober 1961 tussen deze twee Staten gesloten Overeenkomst ter vermijding van dubbele belasting van de inkomsten uit de uitoefening van de luchtvaart, zullen ophouden van toepassing te zijn zolang artikel 8 van deze Overeenkomst van toepassing is.</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 </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Style w:val="Nadruk"/>
          <w:rFonts w:ascii="Verdana" w:hAnsi="Verdana"/>
          <w:b/>
          <w:bCs/>
          <w:color w:val="444444"/>
          <w:sz w:val="20"/>
          <w:szCs w:val="20"/>
          <w:lang w:val="nl-BE"/>
        </w:rPr>
        <w:t>Artikel 31. Opzegging.</w:t>
      </w:r>
    </w:p>
    <w:p w:rsidR="00CA1FC7" w:rsidRPr="00CA1FC7" w:rsidRDefault="00CA1FC7" w:rsidP="00CA1FC7">
      <w:pPr>
        <w:pStyle w:val="Normaalweb"/>
        <w:shd w:val="clear" w:color="auto" w:fill="FFFFFF"/>
        <w:rPr>
          <w:rFonts w:ascii="Verdana" w:hAnsi="Verdana"/>
          <w:color w:val="444444"/>
          <w:sz w:val="20"/>
          <w:szCs w:val="20"/>
          <w:lang w:val="nl-BE"/>
        </w:rPr>
      </w:pPr>
      <w:r w:rsidRPr="00CA1FC7">
        <w:rPr>
          <w:rFonts w:ascii="Verdana" w:hAnsi="Verdana"/>
          <w:color w:val="444444"/>
          <w:sz w:val="20"/>
          <w:szCs w:val="20"/>
          <w:lang w:val="nl-BE"/>
        </w:rPr>
        <w:t>Deze Overeenkomst zal voor onbepaalde tijd in werking blijven, maar elk van de overeenkomstsluitende Staten kan tot de 30e juni van elk kalenderjaar met ingang van het vijfde jaar volgend op het jaar van de inwerkingtreding, aan de andere overeenkomstsluitende Staat langs diplomatieke weg een schriftelijke opzegging doen toekomen. In geval van opzegging vóór 1 juli van zodanig jaar, zal de Overeenkomst voor de laatste maal van toepassing zijn: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t>1° op de bij de bron verschuldigde belastingen met betrekking tot inkomsten welke normaal zijn toegekend of betaalbaar gesteld tot de 31e december van het jaar waarin de opzegging is gedaan;</w:t>
      </w:r>
    </w:p>
    <w:p w:rsidR="00CA1FC7" w:rsidRPr="00CA1FC7" w:rsidRDefault="00CA1FC7" w:rsidP="00CA1FC7">
      <w:pPr>
        <w:pStyle w:val="opsomming1"/>
        <w:shd w:val="clear" w:color="auto" w:fill="FFFFFF"/>
        <w:rPr>
          <w:rFonts w:ascii="Verdana" w:hAnsi="Verdana"/>
          <w:color w:val="444444"/>
          <w:sz w:val="20"/>
          <w:szCs w:val="20"/>
          <w:lang w:val="nl-BE"/>
        </w:rPr>
      </w:pPr>
      <w:r w:rsidRPr="00CA1FC7">
        <w:rPr>
          <w:rFonts w:ascii="Verdana" w:hAnsi="Verdana"/>
          <w:color w:val="444444"/>
          <w:sz w:val="20"/>
          <w:szCs w:val="20"/>
          <w:lang w:val="nl-BE"/>
        </w:rPr>
        <w:lastRenderedPageBreak/>
        <w:t>2° op de andere belastingen geheven naar de inkomsten van belastbare tijdperken die normaal ten laatste op 31 december van hetzelfde jaar eindigen.</w:t>
      </w:r>
    </w:p>
    <w:p w:rsidR="000D364A" w:rsidRPr="00CA1FC7" w:rsidRDefault="000D364A" w:rsidP="00CA1FC7">
      <w:bookmarkStart w:id="0" w:name="_GoBack"/>
      <w:bookmarkEnd w:id="0"/>
    </w:p>
    <w:sectPr w:rsidR="000D364A" w:rsidRPr="00CA1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3C3732"/>
    <w:rsid w:val="004603B8"/>
    <w:rsid w:val="0050499F"/>
    <w:rsid w:val="00523554"/>
    <w:rsid w:val="005F78D3"/>
    <w:rsid w:val="006F549C"/>
    <w:rsid w:val="00750CCF"/>
    <w:rsid w:val="0077561D"/>
    <w:rsid w:val="00825007"/>
    <w:rsid w:val="00997AFB"/>
    <w:rsid w:val="00A64540"/>
    <w:rsid w:val="00BD06F1"/>
    <w:rsid w:val="00C22C33"/>
    <w:rsid w:val="00C854AB"/>
    <w:rsid w:val="00CA1FC7"/>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erdana">
    <w:name w:val="verdana"/>
    <w:basedOn w:val="Standaard"/>
    <w:rsid w:val="003C37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lijn">
    <w:name w:val="bronvermlijn"/>
    <w:basedOn w:val="Standaard"/>
    <w:rsid w:val="00CA1F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CA1FC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58770601">
      <w:bodyDiv w:val="1"/>
      <w:marLeft w:val="0"/>
      <w:marRight w:val="0"/>
      <w:marTop w:val="0"/>
      <w:marBottom w:val="0"/>
      <w:divBdr>
        <w:top w:val="none" w:sz="0" w:space="0" w:color="auto"/>
        <w:left w:val="none" w:sz="0" w:space="0" w:color="auto"/>
        <w:bottom w:val="none" w:sz="0" w:space="0" w:color="auto"/>
        <w:right w:val="none" w:sz="0" w:space="0" w:color="auto"/>
      </w:divBdr>
      <w:divsChild>
        <w:div w:id="732659241">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16267735">
      <w:bodyDiv w:val="1"/>
      <w:marLeft w:val="0"/>
      <w:marRight w:val="0"/>
      <w:marTop w:val="0"/>
      <w:marBottom w:val="0"/>
      <w:divBdr>
        <w:top w:val="none" w:sz="0" w:space="0" w:color="auto"/>
        <w:left w:val="none" w:sz="0" w:space="0" w:color="auto"/>
        <w:bottom w:val="none" w:sz="0" w:space="0" w:color="auto"/>
        <w:right w:val="none" w:sz="0" w:space="0" w:color="auto"/>
      </w:divBdr>
    </w:div>
    <w:div w:id="1107237918">
      <w:bodyDiv w:val="1"/>
      <w:marLeft w:val="0"/>
      <w:marRight w:val="0"/>
      <w:marTop w:val="0"/>
      <w:marBottom w:val="0"/>
      <w:divBdr>
        <w:top w:val="none" w:sz="0" w:space="0" w:color="auto"/>
        <w:left w:val="none" w:sz="0" w:space="0" w:color="auto"/>
        <w:bottom w:val="none" w:sz="0" w:space="0" w:color="auto"/>
        <w:right w:val="none" w:sz="0" w:space="0" w:color="auto"/>
      </w:divBdr>
      <w:divsChild>
        <w:div w:id="1348752692">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e.be/www/webdriver?MItabObj=pdf&amp;MIcolObj=pdf&amp;MInamObj=pdfid&amp;MItypeObj=application/pdf&amp;MIvalObj=33578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33578085" TargetMode="External"/><Relationship Id="rId5" Type="http://schemas.openxmlformats.org/officeDocument/2006/relationships/hyperlink" Target="http://www.dekamer.be/digidoc/DPS/K2009/K20090198/K2009019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9619</Words>
  <Characters>55795</Characters>
  <Application>Microsoft Office Word</Application>
  <DocSecurity>0</DocSecurity>
  <Lines>1239</Lines>
  <Paragraphs>322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2019-05-22T14:51:00Z</dcterms:created>
  <dcterms:modified xsi:type="dcterms:W3CDTF">2019-05-22T14:51:00Z</dcterms:modified>
</cp:coreProperties>
</file>