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A7" w:rsidRDefault="00045CA7" w:rsidP="00045CA7">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Ci.RH.82/535.091 dd. 18.06.2001</w:t>
      </w:r>
    </w:p>
    <w:p w:rsidR="00045CA7" w:rsidRPr="00045CA7" w:rsidRDefault="00045CA7" w:rsidP="00045CA7">
      <w:pPr>
        <w:rPr>
          <w:rFonts w:ascii="Times New Roman" w:hAnsi="Times New Roman"/>
          <w:sz w:val="24"/>
          <w:szCs w:val="24"/>
          <w:lang w:val="en-GB"/>
        </w:rPr>
      </w:pPr>
      <w:r w:rsidRPr="00045CA7">
        <w:rPr>
          <w:rFonts w:ascii="Verdana" w:hAnsi="Verdana"/>
          <w:color w:val="444444"/>
          <w:sz w:val="20"/>
          <w:szCs w:val="20"/>
          <w:lang w:val="en-GB"/>
        </w:rPr>
        <w:br/>
      </w:r>
    </w:p>
    <w:p w:rsidR="00045CA7" w:rsidRPr="00045CA7" w:rsidRDefault="00045CA7" w:rsidP="00045CA7">
      <w:pPr>
        <w:shd w:val="clear" w:color="auto" w:fill="FFFFFF"/>
        <w:spacing w:after="240"/>
        <w:rPr>
          <w:rFonts w:ascii="Verdana" w:hAnsi="Verdana"/>
          <w:color w:val="444444"/>
          <w:sz w:val="20"/>
          <w:szCs w:val="20"/>
          <w:lang w:val="en-GB"/>
        </w:rPr>
      </w:pPr>
      <w:bookmarkStart w:id="0" w:name="698b69cd-9d34-4b10-9a3d-ea95f47af97b"/>
      <w:r w:rsidRPr="00045CA7">
        <w:rPr>
          <w:rFonts w:ascii="Verdana" w:hAnsi="Verdana"/>
          <w:b/>
          <w:bCs/>
          <w:color w:val="0072C6"/>
          <w:sz w:val="20"/>
          <w:szCs w:val="20"/>
          <w:lang w:val="en-GB"/>
        </w:rPr>
        <w:t>CIRC 18.06.01/1</w:t>
      </w:r>
      <w:bookmarkEnd w:id="0"/>
      <w:r w:rsidRPr="00045CA7">
        <w:rPr>
          <w:rFonts w:ascii="Verdana" w:hAnsi="Verdana"/>
          <w:color w:val="444444"/>
          <w:sz w:val="20"/>
          <w:szCs w:val="20"/>
          <w:lang w:val="en-GB"/>
        </w:rPr>
        <w:t> </w:t>
      </w:r>
    </w:p>
    <w:p w:rsidR="00045CA7" w:rsidRPr="00045CA7" w:rsidRDefault="00045CA7" w:rsidP="00045CA7">
      <w:pPr>
        <w:shd w:val="clear" w:color="auto" w:fill="FFFFFF"/>
        <w:spacing w:after="240"/>
        <w:rPr>
          <w:rFonts w:ascii="Verdana" w:hAnsi="Verdana"/>
          <w:color w:val="444444"/>
          <w:sz w:val="20"/>
          <w:szCs w:val="20"/>
          <w:lang w:val="en-GB"/>
        </w:rPr>
      </w:pPr>
      <w:r w:rsidRPr="00045CA7">
        <w:rPr>
          <w:rFonts w:ascii="Verdana" w:hAnsi="Verdana"/>
          <w:b/>
          <w:bCs/>
          <w:color w:val="444444"/>
          <w:sz w:val="20"/>
          <w:szCs w:val="20"/>
          <w:lang w:val="en-GB"/>
        </w:rPr>
        <w:t>Circulaire nr. Ci.RH.82/535.091 dd. 18.06.2001</w:t>
      </w:r>
      <w:r w:rsidRPr="00045CA7">
        <w:rPr>
          <w:rFonts w:ascii="Verdana" w:hAnsi="Verdana"/>
          <w:b/>
          <w:bCs/>
          <w:color w:val="444444"/>
          <w:sz w:val="20"/>
          <w:szCs w:val="20"/>
          <w:lang w:val="en-GB"/>
        </w:rPr>
        <w:br/>
      </w:r>
    </w:p>
    <w:p w:rsidR="00045CA7" w:rsidRPr="00045CA7" w:rsidRDefault="00045CA7" w:rsidP="00045CA7">
      <w:pPr>
        <w:shd w:val="clear" w:color="auto" w:fill="FFFFFF"/>
        <w:spacing w:after="240"/>
        <w:rPr>
          <w:rFonts w:ascii="Verdana" w:hAnsi="Verdana"/>
          <w:color w:val="444444"/>
          <w:sz w:val="20"/>
          <w:szCs w:val="20"/>
          <w:lang w:val="en-GB"/>
        </w:rPr>
      </w:pPr>
      <w:r w:rsidRPr="00045CA7">
        <w:rPr>
          <w:rFonts w:ascii="Verdana" w:hAnsi="Verdana"/>
          <w:b/>
          <w:bCs/>
          <w:color w:val="444444"/>
          <w:sz w:val="20"/>
          <w:szCs w:val="20"/>
          <w:lang w:val="en-GB"/>
        </w:rPr>
        <w:t>Bull. nr. 817, pag. 1477-1479</w:t>
      </w:r>
      <w:r w:rsidRPr="00045CA7">
        <w:rPr>
          <w:rFonts w:ascii="Verdana" w:hAnsi="Verdana"/>
          <w:color w:val="444444"/>
          <w:sz w:val="20"/>
          <w:szCs w:val="20"/>
          <w:lang w:val="en-GB"/>
        </w:rPr>
        <w:t> </w:t>
      </w:r>
    </w:p>
    <w:p w:rsidR="00045CA7" w:rsidRDefault="00045CA7" w:rsidP="00045CA7">
      <w:pPr>
        <w:shd w:val="clear" w:color="auto" w:fill="FFFFFF"/>
        <w:spacing w:after="240"/>
        <w:rPr>
          <w:rFonts w:ascii="Verdana" w:hAnsi="Verdana"/>
          <w:color w:val="444444"/>
          <w:sz w:val="20"/>
          <w:szCs w:val="20"/>
        </w:rPr>
      </w:pPr>
      <w:r>
        <w:rPr>
          <w:rFonts w:ascii="Verdana" w:hAnsi="Verdana"/>
          <w:i/>
          <w:iCs/>
          <w:color w:val="444444"/>
          <w:sz w:val="20"/>
          <w:szCs w:val="20"/>
        </w:rPr>
        <w:t>BELASTING VAN NIET-INWONERS NATUURLIJKE PERSONEN</w:t>
      </w:r>
      <w:r>
        <w:rPr>
          <w:rFonts w:ascii="Verdana" w:hAnsi="Verdana"/>
          <w:i/>
          <w:iCs/>
          <w:color w:val="444444"/>
          <w:sz w:val="20"/>
          <w:szCs w:val="20"/>
        </w:rPr>
        <w:br/>
        <w:t>   Berekening van de BNI/</w:t>
      </w:r>
      <w:proofErr w:type="spellStart"/>
      <w:r>
        <w:rPr>
          <w:rFonts w:ascii="Verdana" w:hAnsi="Verdana"/>
          <w:i/>
          <w:iCs/>
          <w:color w:val="444444"/>
          <w:sz w:val="20"/>
          <w:szCs w:val="20"/>
        </w:rPr>
        <w:t>nat.pers</w:t>
      </w:r>
      <w:proofErr w:type="spellEnd"/>
      <w:r>
        <w:rPr>
          <w:rFonts w:ascii="Verdana" w:hAnsi="Verdana"/>
          <w:i/>
          <w:iCs/>
          <w:color w:val="444444"/>
          <w:sz w:val="20"/>
          <w:szCs w:val="20"/>
        </w:rPr>
        <w:t>.</w:t>
      </w:r>
      <w:r>
        <w:rPr>
          <w:rFonts w:ascii="Verdana" w:hAnsi="Verdana"/>
          <w:i/>
          <w:iCs/>
          <w:color w:val="444444"/>
          <w:sz w:val="20"/>
          <w:szCs w:val="20"/>
        </w:rPr>
        <w:br/>
        <w:t>   Categorieën van niet-rijksinwoners</w:t>
      </w:r>
      <w:r>
        <w:rPr>
          <w:rFonts w:ascii="Verdana" w:hAnsi="Verdana"/>
          <w:i/>
          <w:iCs/>
          <w:color w:val="444444"/>
          <w:sz w:val="20"/>
          <w:szCs w:val="20"/>
        </w:rPr>
        <w:br/>
        <w:t>   Non-discriminatie</w:t>
      </w:r>
      <w:r>
        <w:rPr>
          <w:rFonts w:ascii="Verdana" w:hAnsi="Verdana"/>
          <w:i/>
          <w:iCs/>
          <w:color w:val="444444"/>
          <w:sz w:val="20"/>
          <w:szCs w:val="20"/>
        </w:rPr>
        <w:br/>
      </w:r>
      <w:r>
        <w:rPr>
          <w:rFonts w:ascii="Verdana" w:hAnsi="Verdana"/>
          <w:i/>
          <w:iCs/>
          <w:color w:val="444444"/>
          <w:sz w:val="20"/>
          <w:szCs w:val="20"/>
        </w:rPr>
        <w:br/>
        <w:t>DUBBELBELASTINGVERDRAG</w:t>
      </w:r>
      <w:r>
        <w:rPr>
          <w:rFonts w:ascii="Verdana" w:hAnsi="Verdana"/>
          <w:i/>
          <w:iCs/>
          <w:color w:val="444444"/>
          <w:sz w:val="20"/>
          <w:szCs w:val="20"/>
        </w:rPr>
        <w:br/>
        <w:t>   Frankrijk</w:t>
      </w:r>
      <w:r>
        <w:rPr>
          <w:rFonts w:ascii="Verdana" w:hAnsi="Verdana"/>
          <w:i/>
          <w:iCs/>
          <w:color w:val="444444"/>
          <w:sz w:val="20"/>
          <w:szCs w:val="20"/>
        </w:rPr>
        <w:br/>
        <w:t>   Non-discriminatie</w:t>
      </w:r>
      <w:r>
        <w:rPr>
          <w:rFonts w:ascii="Verdana" w:hAnsi="Verdana"/>
          <w:i/>
          <w:iCs/>
          <w:color w:val="444444"/>
          <w:sz w:val="20"/>
          <w:szCs w:val="20"/>
        </w:rPr>
        <w:br/>
      </w:r>
      <w:r>
        <w:rPr>
          <w:rFonts w:ascii="Verdana" w:hAnsi="Verdana"/>
          <w:i/>
          <w:iCs/>
          <w:color w:val="444444"/>
          <w:sz w:val="20"/>
          <w:szCs w:val="20"/>
        </w:rPr>
        <w:br/>
        <w:t>ONDERHOUDSUITKERING</w:t>
      </w:r>
      <w:r>
        <w:rPr>
          <w:rFonts w:ascii="Verdana" w:hAnsi="Verdana"/>
          <w:i/>
          <w:iCs/>
          <w:color w:val="444444"/>
          <w:sz w:val="20"/>
          <w:szCs w:val="20"/>
        </w:rPr>
        <w:br/>
        <w:t>   Uitkering betaald aan een niet-rijksinwoner</w:t>
      </w:r>
      <w:r>
        <w:rPr>
          <w:rFonts w:ascii="Verdana" w:hAnsi="Verdana"/>
          <w:i/>
          <w:iCs/>
          <w:color w:val="444444"/>
          <w:sz w:val="20"/>
          <w:szCs w:val="20"/>
        </w:rPr>
        <w:br/>
        <w:t>   Uitkering betaald aan een rijksinwoner</w:t>
      </w:r>
      <w:r>
        <w:rPr>
          <w:rFonts w:ascii="Verdana" w:hAnsi="Verdana"/>
          <w:color w:val="444444"/>
          <w:sz w:val="20"/>
          <w:szCs w:val="20"/>
        </w:rPr>
        <w:t> </w:t>
      </w:r>
    </w:p>
    <w:p w:rsidR="00045CA7" w:rsidRDefault="00045CA7" w:rsidP="00045CA7">
      <w:pPr>
        <w:shd w:val="clear" w:color="auto" w:fill="FFFFFF"/>
        <w:spacing w:after="240"/>
        <w:rPr>
          <w:rFonts w:ascii="Verdana" w:hAnsi="Verdana"/>
          <w:color w:val="444444"/>
          <w:sz w:val="20"/>
          <w:szCs w:val="20"/>
        </w:rPr>
      </w:pPr>
      <w:r>
        <w:rPr>
          <w:rFonts w:ascii="Verdana" w:hAnsi="Verdana"/>
          <w:color w:val="444444"/>
          <w:sz w:val="20"/>
          <w:szCs w:val="20"/>
        </w:rPr>
        <w:t>Belasting van niet-inwoners/natuurlijke personen. </w:t>
      </w:r>
      <w:r>
        <w:rPr>
          <w:rFonts w:ascii="Verdana" w:hAnsi="Verdana"/>
          <w:color w:val="444444"/>
          <w:sz w:val="20"/>
          <w:szCs w:val="20"/>
        </w:rPr>
        <w:br/>
        <w:t>- Categorieën van niet-rijksinwoners. </w:t>
      </w:r>
      <w:r>
        <w:rPr>
          <w:rFonts w:ascii="Verdana" w:hAnsi="Verdana"/>
          <w:color w:val="444444"/>
          <w:sz w:val="20"/>
          <w:szCs w:val="20"/>
        </w:rPr>
        <w:br/>
        <w:t>- Onderhoudsuitkeringen betaald aan niet-inwoners. </w:t>
      </w:r>
    </w:p>
    <w:p w:rsidR="00045CA7" w:rsidRDefault="00045CA7" w:rsidP="00045CA7">
      <w:pPr>
        <w:shd w:val="clear" w:color="auto" w:fill="FFFFFF"/>
        <w:spacing w:after="240"/>
        <w:rPr>
          <w:rFonts w:ascii="Verdana" w:hAnsi="Verdana"/>
          <w:color w:val="444444"/>
          <w:sz w:val="20"/>
          <w:szCs w:val="20"/>
        </w:rPr>
      </w:pPr>
      <w:r>
        <w:rPr>
          <w:rFonts w:ascii="Verdana" w:hAnsi="Verdana"/>
          <w:color w:val="444444"/>
          <w:sz w:val="20"/>
          <w:szCs w:val="20"/>
        </w:rPr>
        <w:t>    Aan alle ambtenaren. </w:t>
      </w:r>
    </w:p>
    <w:p w:rsidR="00045CA7" w:rsidRDefault="00045CA7" w:rsidP="00045CA7">
      <w:pPr>
        <w:shd w:val="clear" w:color="auto" w:fill="FFFFFF"/>
        <w:spacing w:after="240"/>
        <w:rPr>
          <w:rFonts w:ascii="Verdana" w:hAnsi="Verdana"/>
          <w:color w:val="444444"/>
          <w:sz w:val="20"/>
          <w:szCs w:val="20"/>
        </w:rPr>
      </w:pPr>
      <w:r>
        <w:rPr>
          <w:rFonts w:ascii="Verdana" w:hAnsi="Verdana"/>
          <w:color w:val="444444"/>
          <w:sz w:val="20"/>
          <w:szCs w:val="20"/>
        </w:rPr>
        <w:t xml:space="preserve">    Ingevolge het </w:t>
      </w:r>
      <w:proofErr w:type="spellStart"/>
      <w:r>
        <w:rPr>
          <w:rFonts w:ascii="Verdana" w:hAnsi="Verdana"/>
          <w:color w:val="444444"/>
          <w:sz w:val="20"/>
          <w:szCs w:val="20"/>
        </w:rPr>
        <w:t>avenant</w:t>
      </w:r>
      <w:proofErr w:type="spellEnd"/>
      <w:r>
        <w:rPr>
          <w:rFonts w:ascii="Verdana" w:hAnsi="Verdana"/>
          <w:color w:val="444444"/>
          <w:sz w:val="20"/>
          <w:szCs w:val="20"/>
        </w:rPr>
        <w:t xml:space="preserve"> van 8 februari 1999 tot wijziging van de Overeenkomst tussen België en Frankrijk tot voorkoming van dubbele belasting en tot regeling van wederzijdse administratieve en juridische bijstand inzake inkomstenbelasting, ondertekend op 10 maart 1964 te Brussel werden de bepalingen met betrekking tot de non-discriminatiebepaling aangepast. Door die aanpassing werd een nieuwe categorie van niet-inwoners gecreëerd. De niet-inwoners van die nieuwe categorie hebben recht op alle regels m.b.t. persoonlijke aftrekken, tegemoetkomingen en belastingverminderingen uit hoofde van hun gezinstoestand of gezinslasten, maar evenwel verminderd naar rata van de in België belastbare bezoldigingen van werknemers, de inkomsten uit land- of bosbouw, de winsten of baten, in verhouding tot het totale beroepsinkomen. De bespreking van dit </w:t>
      </w:r>
      <w:proofErr w:type="spellStart"/>
      <w:r>
        <w:rPr>
          <w:rFonts w:ascii="Verdana" w:hAnsi="Verdana"/>
          <w:color w:val="444444"/>
          <w:sz w:val="20"/>
          <w:szCs w:val="20"/>
        </w:rPr>
        <w:t>avenant</w:t>
      </w:r>
      <w:proofErr w:type="spellEnd"/>
      <w:r>
        <w:rPr>
          <w:rFonts w:ascii="Verdana" w:hAnsi="Verdana"/>
          <w:color w:val="444444"/>
          <w:sz w:val="20"/>
          <w:szCs w:val="20"/>
        </w:rPr>
        <w:t xml:space="preserve"> maakt het voorwerp uit van een afzonderlijke circulaire (</w:t>
      </w:r>
      <w:proofErr w:type="spellStart"/>
      <w:r>
        <w:rPr>
          <w:rFonts w:ascii="Verdana" w:hAnsi="Verdana"/>
          <w:color w:val="444444"/>
          <w:sz w:val="20"/>
          <w:szCs w:val="20"/>
        </w:rPr>
        <w:t>circ</w:t>
      </w:r>
      <w:proofErr w:type="spellEnd"/>
      <w:r>
        <w:rPr>
          <w:rFonts w:ascii="Verdana" w:hAnsi="Verdana"/>
          <w:color w:val="444444"/>
          <w:sz w:val="20"/>
          <w:szCs w:val="20"/>
        </w:rPr>
        <w:t>. AFZ 96.0470, dd. 26 oktober 2000). </w:t>
      </w:r>
    </w:p>
    <w:p w:rsidR="00045CA7" w:rsidRDefault="00045CA7" w:rsidP="00045CA7">
      <w:pPr>
        <w:shd w:val="clear" w:color="auto" w:fill="FFFFFF"/>
        <w:spacing w:after="240"/>
        <w:rPr>
          <w:rFonts w:ascii="Verdana" w:hAnsi="Verdana"/>
          <w:color w:val="444444"/>
          <w:sz w:val="20"/>
          <w:szCs w:val="20"/>
        </w:rPr>
      </w:pPr>
      <w:r>
        <w:rPr>
          <w:rFonts w:ascii="Verdana" w:hAnsi="Verdana"/>
          <w:color w:val="444444"/>
          <w:sz w:val="20"/>
          <w:szCs w:val="20"/>
        </w:rPr>
        <w:t>    De niet rijksinwoners worden bijgevolg, vanaf het aanslagjaar 2000, ingedeeld in vijf categorieën, met name: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
        <w:gridCol w:w="8758"/>
      </w:tblGrid>
      <w:tr w:rsidR="00045CA7" w:rsidTr="00045CA7">
        <w:trPr>
          <w:tblCellSpacing w:w="15" w:type="dxa"/>
        </w:trPr>
        <w:tc>
          <w:tcPr>
            <w:tcW w:w="150" w:type="pct"/>
            <w:vAlign w:val="center"/>
            <w:hideMark/>
          </w:tcPr>
          <w:p w:rsidR="00045CA7" w:rsidRDefault="00045CA7">
            <w:pPr>
              <w:spacing w:after="0"/>
              <w:jc w:val="right"/>
              <w:rPr>
                <w:rFonts w:ascii="Times New Roman" w:hAnsi="Times New Roman"/>
                <w:sz w:val="24"/>
                <w:szCs w:val="24"/>
              </w:rPr>
            </w:pPr>
            <w:r>
              <w:t>1.</w:t>
            </w:r>
          </w:p>
        </w:tc>
        <w:tc>
          <w:tcPr>
            <w:tcW w:w="4850" w:type="pct"/>
            <w:vAlign w:val="center"/>
            <w:hideMark/>
          </w:tcPr>
          <w:p w:rsidR="00045CA7" w:rsidRDefault="00045CA7">
            <w:r>
              <w:t>niet-rijksinwoners met tehuis in België: dat zijn de niet-rijksinwoners die gedurende het ganse jaar 1999 in België een tehuis hebben behouden;</w:t>
            </w:r>
          </w:p>
        </w:tc>
      </w:tr>
      <w:tr w:rsidR="00045CA7" w:rsidTr="00045CA7">
        <w:trPr>
          <w:tblCellSpacing w:w="15" w:type="dxa"/>
        </w:trPr>
        <w:tc>
          <w:tcPr>
            <w:tcW w:w="150" w:type="pct"/>
            <w:vAlign w:val="center"/>
            <w:hideMark/>
          </w:tcPr>
          <w:p w:rsidR="00045CA7" w:rsidRDefault="00045CA7">
            <w:pPr>
              <w:spacing w:after="240"/>
              <w:jc w:val="right"/>
            </w:pPr>
            <w:r>
              <w:lastRenderedPageBreak/>
              <w:t>2.</w:t>
            </w:r>
            <w:r>
              <w:br/>
            </w:r>
          </w:p>
        </w:tc>
        <w:tc>
          <w:tcPr>
            <w:tcW w:w="4850" w:type="pct"/>
            <w:vAlign w:val="center"/>
            <w:hideMark/>
          </w:tcPr>
          <w:p w:rsidR="00045CA7" w:rsidRDefault="00045CA7">
            <w:pPr>
              <w:spacing w:after="0"/>
            </w:pPr>
            <w:r>
              <w:t>met niet-rijksinwoners met tehuis in België gelijkgestelden: dat zijn de niet-rijksinwoners die niet gedurende het ganse jaar 1999 in België een tehuis hebben behouden maar die in 1999 in België belastbare beroepsinkomsten hebben behaald in zoverre die inkomsten ten minste 75 % bedragen van het geheel van hun binnenlandse en buitenlandse beroepsinkomsten;</w:t>
            </w:r>
          </w:p>
        </w:tc>
      </w:tr>
      <w:tr w:rsidR="00045CA7" w:rsidTr="00045CA7">
        <w:trPr>
          <w:tblCellSpacing w:w="15" w:type="dxa"/>
        </w:trPr>
        <w:tc>
          <w:tcPr>
            <w:tcW w:w="150" w:type="pct"/>
            <w:vAlign w:val="center"/>
            <w:hideMark/>
          </w:tcPr>
          <w:p w:rsidR="00045CA7" w:rsidRDefault="00045CA7">
            <w:pPr>
              <w:spacing w:after="240"/>
              <w:jc w:val="right"/>
            </w:pPr>
            <w:r>
              <w:t>3.</w:t>
            </w:r>
            <w:r>
              <w:br/>
            </w:r>
            <w:r>
              <w:br/>
            </w:r>
          </w:p>
        </w:tc>
        <w:tc>
          <w:tcPr>
            <w:tcW w:w="4850" w:type="pct"/>
            <w:vAlign w:val="center"/>
            <w:hideMark/>
          </w:tcPr>
          <w:p w:rsidR="00045CA7" w:rsidRDefault="00045CA7">
            <w:pPr>
              <w:spacing w:after="0"/>
            </w:pPr>
            <w:r>
              <w:t>bevoorrechte niet-rijksinwoners zonder tehuis in België die niet gedurende het ganse jaar 1999 in België een tehuis hebben behouden en die niet gelijkgesteld zijn (d.w.z. die niet tot categorieën 1 of 2 behoren) maar die, op grond van een non-discriminatiebepaling uit een door België gesloten dubbelbelastingverdrag, aanspraak hebben op alle regels m.b.t. persoonlijke aftrekken, tegemoetkomingen en belastingverminderingen uit hoofde van hun gezinstoestand of gezinslasten (inzonderheid inwoners van Nederland, Griekenland en Marokko);</w:t>
            </w:r>
          </w:p>
        </w:tc>
      </w:tr>
      <w:tr w:rsidR="00045CA7" w:rsidTr="00045CA7">
        <w:trPr>
          <w:tblCellSpacing w:w="15" w:type="dxa"/>
        </w:trPr>
        <w:tc>
          <w:tcPr>
            <w:tcW w:w="150" w:type="pct"/>
            <w:vAlign w:val="center"/>
            <w:hideMark/>
          </w:tcPr>
          <w:p w:rsidR="00045CA7" w:rsidRDefault="00045CA7">
            <w:pPr>
              <w:spacing w:after="240"/>
              <w:jc w:val="right"/>
            </w:pPr>
            <w:r>
              <w:t>4.</w:t>
            </w:r>
            <w:r>
              <w:br/>
            </w:r>
            <w:r>
              <w:br/>
            </w:r>
            <w:r>
              <w:br/>
            </w:r>
            <w:r>
              <w:br/>
            </w:r>
          </w:p>
        </w:tc>
        <w:tc>
          <w:tcPr>
            <w:tcW w:w="4850" w:type="pct"/>
            <w:vAlign w:val="center"/>
            <w:hideMark/>
          </w:tcPr>
          <w:p w:rsidR="00045CA7" w:rsidRDefault="00045CA7">
            <w:pPr>
              <w:spacing w:after="0"/>
            </w:pPr>
            <w:r>
              <w:t>bevoorrechte niet-rijksinwoners zonder tehuis in België die niet gedurende het ganse jaar 1999 in België een tehuis hebben behouden en die niet gelijkgesteld zijn (d.w.z.) die niet tot categorieën 1 of 2 behoren) maar die, op grond van een non-discriminatiebepaling uit een door België gesloten dubbelbelastingverdrag, aanspraak hebben op alle regels m.b.t. persoonlijke aftrekken, tegemoetkomingen en belastingverminderingen uit hoofde van hun gezinstoestand of gezinslasten maar evenwel verminderd naar rata van de in België belastbare bezoldigingen van werknemers, winst (met inbegrip van de winst uit land- of bosbouwbedrijven) of baten van een zelfstandige beroepswerkzaamheid in verhouding tot het totale beroepsinkomen (inzonderheid inwoners van Frankrijk);</w:t>
            </w:r>
          </w:p>
        </w:tc>
      </w:tr>
      <w:tr w:rsidR="00045CA7" w:rsidTr="00045CA7">
        <w:trPr>
          <w:tblCellSpacing w:w="15" w:type="dxa"/>
        </w:trPr>
        <w:tc>
          <w:tcPr>
            <w:tcW w:w="150" w:type="pct"/>
            <w:vAlign w:val="center"/>
            <w:hideMark/>
          </w:tcPr>
          <w:p w:rsidR="00045CA7" w:rsidRDefault="00045CA7">
            <w:pPr>
              <w:spacing w:after="240"/>
              <w:jc w:val="right"/>
            </w:pPr>
            <w:r>
              <w:t>5.</w:t>
            </w:r>
          </w:p>
        </w:tc>
        <w:tc>
          <w:tcPr>
            <w:tcW w:w="4850" w:type="pct"/>
            <w:vAlign w:val="center"/>
            <w:hideMark/>
          </w:tcPr>
          <w:p w:rsidR="00045CA7" w:rsidRDefault="00045CA7">
            <w:pPr>
              <w:spacing w:after="0"/>
            </w:pPr>
            <w:r>
              <w:t>niet-rijksinwoners zonder tehuis in België, dat zijn de niet-rijksinwoners die niet gedurende het ganse jaar 1999 in België een tehuis hebben behouden en die niet tot de categorieën 2, 3 of 4 behoren.</w:t>
            </w:r>
          </w:p>
        </w:tc>
      </w:tr>
    </w:tbl>
    <w:p w:rsidR="00045CA7" w:rsidRDefault="00045CA7" w:rsidP="00045CA7">
      <w:pPr>
        <w:shd w:val="clear" w:color="auto" w:fill="FFFFFF"/>
        <w:spacing w:after="240"/>
        <w:rPr>
          <w:rFonts w:ascii="Verdana" w:hAnsi="Verdana"/>
          <w:color w:val="444444"/>
          <w:sz w:val="20"/>
          <w:szCs w:val="20"/>
        </w:rPr>
      </w:pPr>
      <w:r>
        <w:rPr>
          <w:rFonts w:ascii="Verdana" w:hAnsi="Verdana"/>
          <w:color w:val="444444"/>
          <w:sz w:val="20"/>
          <w:szCs w:val="20"/>
        </w:rPr>
        <w:t>    De aandacht wordt er nog op gevestigd dat vanaf het aanslagjaar 2000 in de aangifte BNI/</w:t>
      </w:r>
      <w:proofErr w:type="spellStart"/>
      <w:r>
        <w:rPr>
          <w:rFonts w:ascii="Verdana" w:hAnsi="Verdana"/>
          <w:color w:val="444444"/>
          <w:sz w:val="20"/>
          <w:szCs w:val="20"/>
        </w:rPr>
        <w:t>nat.pers</w:t>
      </w:r>
      <w:proofErr w:type="spellEnd"/>
      <w:r>
        <w:rPr>
          <w:rFonts w:ascii="Verdana" w:hAnsi="Verdana"/>
          <w:color w:val="444444"/>
          <w:sz w:val="20"/>
          <w:szCs w:val="20"/>
        </w:rPr>
        <w:t>. een uitsplitsing van de rubriek onderhoudsuitkeringen werd gemaakt teneinde een onderscheid te maken tussen onderhoudsuitkeringen betaald aan rijksinwoners en niet-rijksinwoners. De inwoners van een land waarmee België een dubbelbelastingverdrag heeft gesloten dat een non-discriminatiebepaling bevat op grond waarvan zij aanspraak kunnen maken op de aftrek van onderhoudsuitkeringen die aan een andere niet-rijksinwoner zijn betaald - inzonderheid de inwoners van Nederland, Griekenland, Marokko en Frankrijk - mogen die onderhoudsuitkeringen in hun aangifte vermelden. Voor de inwoners van Frankrijk worden de hierboven bedoelde onderhoudsuitkeringen evenwel verminderd naar rata van de in België belastbare bezoldigingen, winst of baten in verhouding tot het totale beroepsinkomen. </w:t>
      </w:r>
    </w:p>
    <w:p w:rsidR="00045CA7" w:rsidRDefault="00045CA7" w:rsidP="00045CA7">
      <w:pPr>
        <w:shd w:val="clear" w:color="auto" w:fill="FFFFFF"/>
        <w:spacing w:after="240"/>
        <w:rPr>
          <w:rFonts w:ascii="Verdana" w:hAnsi="Verdana"/>
          <w:color w:val="444444"/>
          <w:sz w:val="20"/>
          <w:szCs w:val="20"/>
        </w:rPr>
      </w:pPr>
      <w:r>
        <w:rPr>
          <w:rFonts w:ascii="Verdana" w:hAnsi="Verdana"/>
          <w:color w:val="444444"/>
          <w:sz w:val="20"/>
          <w:szCs w:val="20"/>
        </w:rPr>
        <w:t>Voor de Directeur-generaal: </w:t>
      </w:r>
      <w:r>
        <w:rPr>
          <w:rFonts w:ascii="Verdana" w:hAnsi="Verdana"/>
          <w:color w:val="444444"/>
          <w:sz w:val="20"/>
          <w:szCs w:val="20"/>
        </w:rPr>
        <w:br/>
        <w:t>De Directeur, </w:t>
      </w:r>
    </w:p>
    <w:p w:rsidR="00045CA7" w:rsidRDefault="00045CA7" w:rsidP="00045CA7">
      <w:pPr>
        <w:shd w:val="clear" w:color="auto" w:fill="FFFFFF"/>
        <w:spacing w:after="240"/>
        <w:rPr>
          <w:rFonts w:ascii="Verdana" w:hAnsi="Verdana"/>
          <w:color w:val="444444"/>
          <w:sz w:val="20"/>
          <w:szCs w:val="20"/>
        </w:rPr>
      </w:pPr>
      <w:r>
        <w:rPr>
          <w:rFonts w:ascii="Verdana" w:hAnsi="Verdana"/>
          <w:color w:val="444444"/>
          <w:sz w:val="20"/>
          <w:szCs w:val="20"/>
        </w:rPr>
        <w:t>P. LEROY </w:t>
      </w:r>
    </w:p>
    <w:p w:rsidR="000D364A" w:rsidRPr="00045CA7" w:rsidRDefault="000D364A" w:rsidP="00045CA7">
      <w:bookmarkStart w:id="1" w:name="_GoBack"/>
      <w:bookmarkEnd w:id="1"/>
    </w:p>
    <w:sectPr w:rsidR="000D364A" w:rsidRPr="00045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45CA7"/>
    <w:rsid w:val="00086CD9"/>
    <w:rsid w:val="000B418A"/>
    <w:rsid w:val="000D2564"/>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2945986">
      <w:bodyDiv w:val="1"/>
      <w:marLeft w:val="0"/>
      <w:marRight w:val="0"/>
      <w:marTop w:val="0"/>
      <w:marBottom w:val="0"/>
      <w:divBdr>
        <w:top w:val="none" w:sz="0" w:space="0" w:color="auto"/>
        <w:left w:val="none" w:sz="0" w:space="0" w:color="auto"/>
        <w:bottom w:val="none" w:sz="0" w:space="0" w:color="auto"/>
        <w:right w:val="none" w:sz="0" w:space="0" w:color="auto"/>
      </w:divBdr>
      <w:divsChild>
        <w:div w:id="1151209949">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3984</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2019-05-22T15:45:00Z</dcterms:created>
  <dcterms:modified xsi:type="dcterms:W3CDTF">2019-05-22T15:45:00Z</dcterms:modified>
</cp:coreProperties>
</file>