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2FD" w:rsidRPr="000C22FD" w:rsidRDefault="000C22FD" w:rsidP="000C22FD">
      <w:pPr>
        <w:shd w:val="clear" w:color="auto" w:fill="FFFFFF"/>
        <w:spacing w:before="100" w:beforeAutospacing="1" w:after="100" w:afterAutospacing="1" w:line="240" w:lineRule="auto"/>
        <w:outlineLvl w:val="0"/>
        <w:rPr>
          <w:rFonts w:ascii="Titillium Web" w:eastAsia="Times New Roman" w:hAnsi="Titillium Web" w:cs="Times New Roman"/>
          <w:color w:val="777777"/>
          <w:kern w:val="36"/>
          <w:sz w:val="55"/>
          <w:szCs w:val="55"/>
          <w:lang w:eastAsia="en-GB"/>
        </w:rPr>
      </w:pPr>
      <w:r w:rsidRPr="000C22FD">
        <w:rPr>
          <w:rFonts w:ascii="Titillium Web" w:eastAsia="Times New Roman" w:hAnsi="Titillium Web" w:cs="Times New Roman"/>
          <w:color w:val="777777"/>
          <w:kern w:val="36"/>
          <w:sz w:val="55"/>
          <w:szCs w:val="55"/>
          <w:lang w:eastAsia="en-GB"/>
        </w:rPr>
        <w:t>Circulaire nr. Ci.R9.Zweden/425.737 dd. 09.08.1994</w:t>
      </w:r>
    </w:p>
    <w:p w:rsidR="000C22FD" w:rsidRPr="000C22FD" w:rsidRDefault="000C22FD" w:rsidP="000C22FD">
      <w:pPr>
        <w:spacing w:after="0" w:line="240" w:lineRule="auto"/>
        <w:rPr>
          <w:rFonts w:ascii="Times New Roman" w:eastAsia="Times New Roman" w:hAnsi="Times New Roman" w:cs="Times New Roman"/>
          <w:sz w:val="24"/>
          <w:szCs w:val="24"/>
          <w:lang w:eastAsia="en-GB"/>
        </w:rPr>
      </w:pPr>
      <w:r w:rsidRPr="000C22FD">
        <w:rPr>
          <w:rFonts w:ascii="Titillium Web" w:eastAsia="Times New Roman" w:hAnsi="Titillium Web" w:cs="Times New Roman"/>
          <w:color w:val="444444"/>
          <w:sz w:val="20"/>
          <w:szCs w:val="20"/>
          <w:lang w:eastAsia="en-GB"/>
        </w:rPr>
        <w:br/>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eastAsia="en-GB"/>
        </w:rPr>
      </w:pPr>
      <w:bookmarkStart w:id="0" w:name="d5d5afc8-9c2f-4afb-bd02-6f07f629bd87"/>
      <w:r w:rsidRPr="000C22FD">
        <w:rPr>
          <w:rFonts w:ascii="Titillium Web" w:eastAsia="Times New Roman" w:hAnsi="Titillium Web" w:cs="Times New Roman"/>
          <w:b/>
          <w:bCs/>
          <w:color w:val="0072C6"/>
          <w:sz w:val="20"/>
          <w:szCs w:val="20"/>
          <w:lang w:eastAsia="en-GB"/>
        </w:rPr>
        <w:t>CIRC 09.08.94/1</w:t>
      </w:r>
      <w:bookmarkEnd w:id="0"/>
      <w:r w:rsidRPr="000C22FD">
        <w:rPr>
          <w:rFonts w:ascii="Titillium Web" w:eastAsia="Times New Roman" w:hAnsi="Titillium Web" w:cs="Times New Roman"/>
          <w:color w:val="444444"/>
          <w:sz w:val="20"/>
          <w:szCs w:val="20"/>
          <w:lang w:eastAsia="en-GB"/>
        </w:rPr>
        <w: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b/>
          <w:bCs/>
          <w:color w:val="444444"/>
          <w:sz w:val="20"/>
          <w:szCs w:val="20"/>
          <w:lang w:eastAsia="en-GB"/>
        </w:rPr>
        <w:t>Circulaire nr. Ci.R9.Zweden/425.737 dd. 09.08.1994</w:t>
      </w:r>
      <w:r w:rsidRPr="000C22FD">
        <w:rPr>
          <w:rFonts w:ascii="Titillium Web" w:eastAsia="Times New Roman" w:hAnsi="Titillium Web" w:cs="Times New Roman"/>
          <w:b/>
          <w:bCs/>
          <w:color w:val="444444"/>
          <w:sz w:val="20"/>
          <w:szCs w:val="20"/>
          <w:lang w:eastAsia="en-GB"/>
        </w:rPr>
        <w:br/>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b/>
          <w:bCs/>
          <w:color w:val="444444"/>
          <w:sz w:val="20"/>
          <w:szCs w:val="20"/>
          <w:lang w:eastAsia="en-GB"/>
        </w:rPr>
        <w:t>Bull. nr. 742</w:t>
      </w:r>
      <w:r w:rsidRPr="000C22FD">
        <w:rPr>
          <w:rFonts w:ascii="Titillium Web" w:eastAsia="Times New Roman" w:hAnsi="Titillium Web" w:cs="Times New Roman"/>
          <w:color w:val="444444"/>
          <w:sz w:val="20"/>
          <w:szCs w:val="20"/>
          <w:lang w:eastAsia="en-GB"/>
        </w:rPr>
        <w: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i/>
          <w:iCs/>
          <w:color w:val="444444"/>
          <w:sz w:val="20"/>
          <w:szCs w:val="20"/>
          <w:lang w:eastAsia="en-GB"/>
        </w:rPr>
        <w:t>DUBBELBELASTINGVERDRAG</w:t>
      </w:r>
      <w:r w:rsidRPr="000C22FD">
        <w:rPr>
          <w:rFonts w:ascii="Titillium Web" w:eastAsia="Times New Roman" w:hAnsi="Titillium Web" w:cs="Times New Roman"/>
          <w:i/>
          <w:iCs/>
          <w:color w:val="444444"/>
          <w:sz w:val="20"/>
          <w:szCs w:val="20"/>
          <w:lang w:eastAsia="en-GB"/>
        </w:rPr>
        <w:br/>
        <w:t>   Zweden</w:t>
      </w:r>
      <w:r w:rsidRPr="000C22FD">
        <w:rPr>
          <w:rFonts w:ascii="Titillium Web" w:eastAsia="Times New Roman" w:hAnsi="Titillium Web" w:cs="Times New Roman"/>
          <w:color w:val="444444"/>
          <w:sz w:val="20"/>
          <w:szCs w:val="20"/>
          <w:lang w:eastAsia="en-GB"/>
        </w:rPr>
        <w:t> </w:t>
      </w:r>
      <w:r w:rsidRPr="000C22FD">
        <w:rPr>
          <w:rFonts w:ascii="Titillium Web" w:eastAsia="Times New Roman" w:hAnsi="Titillium Web" w:cs="Times New Roman"/>
          <w:color w:val="444444"/>
          <w:sz w:val="20"/>
          <w:szCs w:val="20"/>
          <w:lang w:eastAsia="en-GB"/>
        </w:rPr>
        <w:br/>
      </w:r>
      <w:r w:rsidRPr="000C22FD">
        <w:rPr>
          <w:rFonts w:ascii="Titillium Web" w:eastAsia="Times New Roman" w:hAnsi="Titillium Web" w:cs="Times New Roman"/>
          <w:color w:val="444444"/>
          <w:sz w:val="20"/>
          <w:szCs w:val="20"/>
          <w:lang w:eastAsia="en-GB"/>
        </w:rPr>
        <w:br/>
        <w:t>Aan alle ambtenaren van de niveaus 1 en 2.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color w:val="444444"/>
          <w:sz w:val="20"/>
          <w:szCs w:val="20"/>
          <w:lang w:eastAsia="en-GB"/>
        </w:rPr>
        <w:t>I. BELANGRIJKE DATA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color w:val="444444"/>
          <w:sz w:val="20"/>
          <w:szCs w:val="20"/>
          <w:lang w:eastAsia="en-GB"/>
        </w:rPr>
        <w:t>Ondertekening van de Overeenkomst : 5.2.1991. Goedkeuring : Wet van 26.1.1993. Publikatie : BS van 27.2.1993 (V 2222 - Bull. 727). Uitwisseling van de akten van bekrachtiging : 9.2.1993. Inwerkingtreding : 24.2.1993.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color w:val="444444"/>
          <w:sz w:val="20"/>
          <w:szCs w:val="20"/>
          <w:lang w:eastAsia="en-GB"/>
        </w:rPr>
        <w:t>a) Toepassing in Belgie  </w:t>
      </w:r>
    </w:p>
    <w:p w:rsidR="000C22FD" w:rsidRPr="000C22FD" w:rsidRDefault="000C22FD" w:rsidP="000C22FD">
      <w:pPr>
        <w:numPr>
          <w:ilvl w:val="0"/>
          <w:numId w:val="34"/>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color w:val="444444"/>
          <w:sz w:val="20"/>
          <w:szCs w:val="20"/>
          <w:lang w:eastAsia="en-GB"/>
        </w:rPr>
        <w:t>op alle bij de bron verschuldigde belastingen op inkomsten die zijn toegekend of betaalbaar gesteld op of na 1.1.1991;</w:t>
      </w:r>
    </w:p>
    <w:p w:rsidR="000C22FD" w:rsidRPr="000C22FD" w:rsidRDefault="000C22FD" w:rsidP="000C22FD">
      <w:pPr>
        <w:numPr>
          <w:ilvl w:val="0"/>
          <w:numId w:val="34"/>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color w:val="444444"/>
          <w:sz w:val="20"/>
          <w:szCs w:val="20"/>
          <w:lang w:eastAsia="en-GB"/>
        </w:rPr>
        <w:t>op de andere belastingen geheven naar inkomsten van belastbare tijdperken die eindigen op of na 31.12.1990.</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color w:val="444444"/>
          <w:sz w:val="20"/>
          <w:szCs w:val="20"/>
          <w:lang w:eastAsia="en-GB"/>
        </w:rPr>
        <w:t>b) Vroegere Overeenkomst van 2.7.1965 en Akkoord van 7.3.1967 houdende wijziging van deze Overeenkomst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color w:val="444444"/>
          <w:sz w:val="20"/>
          <w:szCs w:val="20"/>
          <w:lang w:eastAsia="en-GB"/>
        </w:rPr>
        <w:t>Die Overeenkomst en dat Akkoord werden door Zweden opgezegd op 23.5.1990 en zijn voor het laatst van toepassing op de bij de bron verschuldigde belastingen op inkomsten die uiterlijk op 31.12.1990 zijn betaald, en op de andere belastingen gevestigd op inkomsten van elk belastbaar tijdperk dat uiterlijk op 30.12.1990 is afgesloten.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color w:val="444444"/>
          <w:sz w:val="20"/>
          <w:szCs w:val="20"/>
          <w:lang w:eastAsia="en-GB"/>
        </w:rPr>
        <w:t>II. ALGEMENE KENMERKEN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eastAsia="en-GB"/>
        </w:rPr>
      </w:pPr>
      <w:r w:rsidRPr="000C22FD">
        <w:rPr>
          <w:rFonts w:ascii="Titillium Web" w:eastAsia="Times New Roman" w:hAnsi="Titillium Web" w:cs="Times New Roman"/>
          <w:color w:val="444444"/>
          <w:sz w:val="20"/>
          <w:szCs w:val="20"/>
          <w:lang w:eastAsia="en-GB"/>
        </w:rPr>
        <w:t>De Overeenkomst beoogt het vermijden van dubbele belasting inzake bestaande en toekomstige belastingen naar het inkomen en naar het vermogen die voor rekening van elke overeenkomstsluitende Staat of van zijn plaatselijke autoriteiten worden geheven.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De Overeenkomst stelt bovendien, volgens de gebruikelijke regels en met de gewone beschermingsmaatregelen, tussen de bevoegde autoriteiten van de overeenkomstsluitende Staten de uitwisseling in van de inlichtingen die nodig zijn, niet alleen om op correcte wijze uitvoering te geven aan de bepalingen van de Overeenkomst, maar ook aan die van de Belgische en Zweedse wetten betreffende de belastingen waarop de Overeenkomst van toepassing is (art. 26). Zij voorziet eveneens in wederzijdse bijstand voor de invordering van die belastingen (art. 27).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De Overeenkomst is grotendeels gebaseerd op gelijkaardige door Belgie gesloten overeenkomsten. Bijgevolg worden hierna alleen de voornaamste of specifieke bepalingen ervan besproken.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III. VERMIJDING VAN DUBBELE BELASTING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lastRenderedPageBreak/>
        <w:t>A. Ondernemingswinst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     1. Algemeen belastingstelsel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Overeenkomstig de gebruikelijke regels mag winst van een onderneming van een overeenkomstsluitende Staat - niet zijnde een landbouw- of bosbedrijf (waarvan de inkomsten in overeenstemming met art. 6, Ov, mogen worden belast in de Staat waar de onroerende goederen van die onderneming zijn gelegen) of een zeescheepvaart- of luchtvaartonderneming waarop 3. hierna van toepassing is - in de andere overeenkomstsluitende Staat slechts worden belast in zoverre als zij aan een in die andere Staat gelegen vaste inrichting kan worden toegerekend (art. 7, # 1).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De definitie van vaste inrichting, omschreven in art. 5, stemt grotendeels overeen met de definitie die in vele andere overeenkomsten is opgenomen. Er wordt evenwel opgemerkt dat een verzekeringsonderneming geacht wordt in een overeenkomstsluitende Staat een vaste inrichting te hebben, indien zij in die Staat premies int of risico's verzekert door middel van een agent die een onafhankelijk statuut geniet en die een machtiging bezit om namens de onderneming overeenkomsten af te sluiten en dit recht gewoonlijk uitoefent (art. 5, # 7).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     2. Stelsel dat van toepassing is op Belgische vaste inrichtingen van Zweedse vennootschappen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Het tarief van de BNI/ven. dat van toepassing is op de winst van vaste inrichtingen is beperkt tot het maximale tarief van de Ven.B, dat is in hoofdsom 41 % voor aj. 1991 en 39 % vanaf aj. 1992 (art. 24, # 6, a),).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De regels van het intern recht zijn van toepassing m.b.t. de heffing van de RV op dividenden die door Belgische vaste inrichtingen van Zweedse vennootschappen worden verkregen en m.b.t. de niet-verrekening ervan met de BNI/ven. (art. 24, # 6, b),).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     3. Zee- en luchtvaart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Winst verkregen uit de exploitatie van schepen of luchtvaartuigen in internationaal verkeer is slechts belastbaar in de overeenkomstsluitende Staat waar de plaats van werkelijke leiding van de onderneming is gelegen (art. 8).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Met betrekking tot winst verkregen door het Deense, Noorse en Zweedse luchtvaartconsortium "Scandinavian Airlines System (SAS)", mag slechts het gedeelte van de winst dat evenredig is aan de deelneming in dat consortium van "AB Aerotransport (ABA)", de Zweedse partner van SAS, uitsluitend in de Staat van de plaats van leiding worden belast.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B. Belastingheffing van roerende inkomsten in de bronstaat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     1. Algemeen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De art. 10, 11 en 12 van de Overeenkomst bepalen als volgt en op de gewone voorwaarden de belastingregeling die in de bronstaat van toepassing is op roerende inkomsten die door inwoners van de andere Staat worden verkregen.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     a) Dividenden : de Belgische RV of de Zweedse belasting, naar het geval, is beperkt tot : </w:t>
      </w:r>
    </w:p>
    <w:p w:rsidR="000C22FD" w:rsidRPr="000C22FD" w:rsidRDefault="000C22FD" w:rsidP="000C22FD">
      <w:pPr>
        <w:numPr>
          <w:ilvl w:val="0"/>
          <w:numId w:val="35"/>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5 % van het brutobedrag van de dividenden indien de uiteindelijk gerechtigde een vennootschap is die onmiddellijk ten minste 25 % bezit van het kapitaal van de vennootschap die de dividenden betaalt (behalve indien de uiteindelijk gerechtigde tot de dividenden een personenvennootschap is die haar plaats van leiding in Zweden heeft);</w:t>
      </w:r>
    </w:p>
    <w:p w:rsidR="000C22FD" w:rsidRPr="000C22FD" w:rsidRDefault="000C22FD" w:rsidP="000C22FD">
      <w:pPr>
        <w:numPr>
          <w:ilvl w:val="0"/>
          <w:numId w:val="35"/>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15 % van het brutobedrag van de dividenden in de andere gevallen.</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b) Interest : de Belgische RV of de Zweedse belasting, naar het geval, is beperkt tot 10 % van het normale brutobedrag van de interest.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lastRenderedPageBreak/>
        <w:t>Er is evenwel vrijstelling van belasting in de bronstaat voor interest : </w:t>
      </w:r>
    </w:p>
    <w:p w:rsidR="000C22FD" w:rsidRPr="000C22FD" w:rsidRDefault="000C22FD" w:rsidP="000C22FD">
      <w:pPr>
        <w:numPr>
          <w:ilvl w:val="0"/>
          <w:numId w:val="36"/>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van handelsschuldvorderingen - met inbegrip van vorderingen vertegenwoordigd door handelspapier - wegens termijnbetaling van levering van koopwaar, goederen of diensten door ondernemingen;</w:t>
      </w:r>
    </w:p>
    <w:p w:rsidR="000C22FD" w:rsidRPr="000C22FD" w:rsidRDefault="000C22FD" w:rsidP="000C22FD">
      <w:pPr>
        <w:numPr>
          <w:ilvl w:val="0"/>
          <w:numId w:val="36"/>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van niet door effecten aan toonder vertegenwoordigde leningen van welke aard ook, verstrekt door bankondernemingen;</w:t>
      </w:r>
    </w:p>
    <w:p w:rsidR="000C22FD" w:rsidRPr="000C22FD" w:rsidRDefault="000C22FD" w:rsidP="000C22FD">
      <w:pPr>
        <w:numPr>
          <w:ilvl w:val="0"/>
          <w:numId w:val="36"/>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van niet in effecten aan toonder verdeelde gelddeposito's bij bankondernemingen, daaronder begrepen openbare kredietinstellingen.</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c) Royalty's : er is vrijstelling van belasting in de bronstaat.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Overeenkomstig het standpunt dat recentelijk door de OESO is ingenomen, worden de inkomsten uit het recht van gebruik van een uitrusting onttrokken aan de toepassingssfeer van art. 12. Die inkomsten vormen ondernemingswinst of inkomsten van zelfstandige beroepen, wat eveneens leidt tot vrijstelling in de bronstaat bij gebrek aan een vaste inrichting gelegen in die Staat.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     2. Roerende inkomsten uit bronnen in Belgie verkregen door inwoners van Zweden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De vermindering of vrijstelling van Belgische voorheffing waartoe de verdragsbepalingen doorgaans leiden, wordt op de gebruikelijke wijze verleend na voorlegging van de volgende formulieren : </w:t>
      </w:r>
    </w:p>
    <w:p w:rsidR="000C22FD" w:rsidRPr="000C22FD" w:rsidRDefault="000C22FD" w:rsidP="000C22FD">
      <w:pPr>
        <w:numPr>
          <w:ilvl w:val="0"/>
          <w:numId w:val="37"/>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model 276 Div. - Aut., voor dividenden; </w:t>
      </w:r>
    </w:p>
    <w:p w:rsidR="000C22FD" w:rsidRPr="000C22FD" w:rsidRDefault="000C22FD" w:rsidP="000C22FD">
      <w:pPr>
        <w:numPr>
          <w:ilvl w:val="0"/>
          <w:numId w:val="37"/>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model 276 Int. - Aut., voor interest; </w:t>
      </w:r>
    </w:p>
    <w:p w:rsidR="000C22FD" w:rsidRPr="000C22FD" w:rsidRDefault="000C22FD" w:rsidP="000C22FD">
      <w:pPr>
        <w:numPr>
          <w:ilvl w:val="0"/>
          <w:numId w:val="37"/>
        </w:numPr>
        <w:shd w:val="clear" w:color="auto" w:fill="FFFFFF"/>
        <w:spacing w:before="100" w:beforeAutospacing="1" w:after="100" w:afterAutospacing="1" w:line="240" w:lineRule="auto"/>
        <w:ind w:left="1440"/>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model 276 R., voor royalty's.</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Voor de te volgen procedure en de berekeningsmodaliteiten van de beperkingen van de Belgische belasting, wordt, mutatis mutandis, verwezen naar de circ. 5.8.1982, Ci.R9. Div./325.546 en naar de circ. 17.6.1985, Co.88.36/ 51.655.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     3. Roerende inkomsten uit bronnen in Zweden verkregen door inwoners van Belgie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a) Dividenden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1. Vermindering bij de bron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De vermindering of de vrijstelling van Zweedse belasting wordt in de regel automatisch bij de bron verleend, zodra het Zweeds Centraal Register van effecten zich ervan vergewist heeft dat de uiteindelijk gerechtigde van de dividenden een inwoner van Belgie is.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Inwoners van Belgie die dividenden verkrijgen uit bronnen in Zweden worden dus aangeraden een woonplaatsattest dat kan worden afgeleverd door de Belgische belastingdienst waarvan de verkrijger afhangt, te bezorgen aan de Zweedse tussenpersoon die de betaling doet of aan de uitkerende vennootschap van de dividenden. De Zweedse tussenpersoon of de uitkerende vennootschap van de dividenden, naar het geval, zal dit woonplaatsattest voor controledoeleinden en voor vermindering bij de bron aan het Zweedse Centraal Register van effecten toezenden.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2. Teruggave van het teveel geheven bedrag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 xml:space="preserve">Wanneer een inwoner van Belgie de vermindering niet onmiddellijk bij de bron heeft kunnen bekomen, bijvoorbeeld doordat hij te zijner tijd, het woonplaatsattest overeenkomstig de hiervoren in sub 1. omschreven procedure, niet heeft kunnen overleggen, zodanig dat de dividenden de Zweedse bronbelasting tegen het tarief van het interne recht hebben ondergaan, kan hij teruggave van het teveel geheven bedrag bekomen. Te dien einde moet hij een formulier RSV 3740 in tweevoud invullen en ondertekenen en het laten aanvullen met een woonplaatsattest dat kan worden verstrekt door de Belgische belastingdienst waarvan de aanvrager afhangt. Dit formulier RSV 3740 moet vervolgens voor het einde van het vijfde kalenderjaar dat volgt op de datum van de betaalbaarstelling van de dividenden </w:t>
      </w:r>
      <w:r w:rsidRPr="000C22FD">
        <w:rPr>
          <w:rFonts w:ascii="Titillium Web" w:eastAsia="Times New Roman" w:hAnsi="Titillium Web" w:cs="Times New Roman"/>
          <w:color w:val="444444"/>
          <w:sz w:val="20"/>
          <w:szCs w:val="20"/>
          <w:lang w:val="en-GB" w:eastAsia="en-GB"/>
        </w:rPr>
        <w:lastRenderedPageBreak/>
        <w:t>aan de Zweedse Administratie, "Sarskilda Skattekontoret, S - 771 83 Ludvika, Zweden" worden toegezonden.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3. Controlemaatregelen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De Zweedse administratie zal geregeld aan de Belgische administratie de lijsten van de inwoners van Belgie die dividenden uit bronnen in Zweden verkrijgen, toezenden. Na de ontvangst daarvan moeten deze lijsten door de Documentatiedienst aan de bevoegde belastingdiensten worden gestuurd.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4. Bijzonder geval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Dividenden uitgekeerd door Zweedse economische verenigingen.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Inwoners van Belgie, die dividenden genieten uit aandelen van Zweedse economische verenigingen, kunnen schriftelijk bij de Zweedse dienst waar de belasting over hun inkomen wordt gevestigd de toepassing van de overeenkomst vragen bij de overlegging van hun aangifte in de Zweedse staatsbelasting op het inkomen; te dien einde moeten zij hun hoedanigheid van inwoner van Belgie in de zin van art. 4 van de overeenkomst aantonen door overlegging van een attest van de Belgische belastingadministratie. Dit attest zal in tweevoud worden gesteld op een formulier nr. 276 Conv., in te vullen door de territoriaal bevoegde Belgische belastingdienst.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De inwoners van Belgie mogen hun aanvraag ook, voor het einde van het derde jaar na dat waarin de inkomsten vervallen zijn, indienen bij de Zweedse belastingdienst die bevoegd is om de rechtsmiddelen tegen aanslagen te behandelen.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b) Interest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In Zweden is interest uit Zweedse bronnen, verkregen door niet-inwoners, slechts belastbaar indien hij winst van een in dat land uitgeoefend handels- of nijverheidsbedrijf vertegenwoordigt. Is dat het geval, dan wordt hij als winst belast onder de voorwaarden van art. 11, # 5, van de overeenkomst, d.w.z. enkel indien de schuldvordering of het deposito, die de interest oplevert, wezenlijk verbonden is met een in Zweden gelegen vaste inrichting van de genieter.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In de andere gevallen zijn inwoners van Belgie van rechtswege vrijgesteld en dienen zij dus de toepassing van de tariefbeperking en van de vrijstellingen ingevolge art. 11, ## 2 en 3, niet te vragen.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c) Royalty's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Alhoewel royalty's uit Zweedse bronnen, verkregen door inwoners van Belgie, in Zweden zijn vrijgesteld, dienen de Belgische verkrijgers elk jaar bij de bevoegde Zweedse dienst aangifte van die inkomsten te doen.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Om de vrijstelling te bekomen, moet de genieter van royalty's zulks in zijn aangifte aanvragen en alle nodige inlichtingen en bewijzen verstrekken; voor de aangifte is generlei bijzonder formulier voorgeschreven.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C. Meerwaarden verkregen uit de vervreemding van aandelen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Voordelen verkregen uit de vervreemding van aandelen of van rechten op een aandeel in de winst van vennootschappen die inwoner zijn van een Staat, die worden verwezenlijkt door natuurlijke personen die inwoner zijn van de andere Staat, mogen in de eerstgenoemde Staat worden belast indien die natuurlijke persoon onderdaan is van die Staat en inwoner is geweest van die Staat in de loop van de 5 jaren die de vervreemding van de aandelen voorafgaan (art. 13, # 5).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 Particuliere pensioenen (art. 18)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Pensioenen en andere soortgelijke beloningen betaald aan een inwoner van een overeenkomstsluitende Staat ter zake van een vroegere dienstbetrekking, alsmede renten betaald aan zulke inwoner, zijn slechts in die Staat belastbaar.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lastRenderedPageBreak/>
        <w:t>In afwijking van die regel mogen de sociale zekerheidspensioenen evenwel worden belast in de Staat waaruit zij afkomstig zijn.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E. Vermijding van dubbele belasting in Belgie (art. 23)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Dubbele belasting van inkomsten die inwoners van Belgie uit bronnen in Zweden verkrijgen en die ingevolge de Overeenkomst aldaar belastbaar zijn, wordt volgens de gewone regels vermeden (methode van vrijstelling met progressievoorbehoud, of methode van verrekening van het forfaitair gedeelte van buitenlandse belasting op de voorwaarden en tegen de tarieven bepaald door de Belgische wetgeving).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Dividenden die Belgische vennootschappen verkrijgen uit deelnemingen in het kapitaal van Zweedse vennootschappen, zijn vrijgesteld van Ven.B op de voorwaarden en binnen de grenzen bepaald door de Belgische wetgeving.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Tot slot bevat de Overeenkomst de gebruikelijke bepaling tot voorkoming van dubbele compensatie van verliezen die een onderneming inwoner van Belgie in een vaste inrichting in Zweden mocht hebben geleden.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F. Regeling voor onderling overleg (art. 25)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Bij gebrek aan een bepaling in art. 9 die de opheffing van economische dubbele belasting toestaat ingevolge winstcorrecties tussen verbonden ondernemingen, bepaalt art. 25, # 3 dat de bevoegde autoriteiten van de overeenkomstsluitende Staten met name overleg kunnen plegen omtrent de toerekening van winsten tussen hoofdzetel en vaste inrichting of tussen afhankelijke ondernemingen.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G. Onverdeelde nalatenschappen (art. 29)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De Overeenkomst bepaalt dat wanneer een inwoner van Belgie inkomsten uit bronnen in Zweden verkrijgt door tussenkomst van een onverdeelde nalatenschap die een inwoner is van Zweden, de vrijstellingen of verminderingen van de Zweedse belasting op die inkomsten van toepassing zijn alsof ze rechtstreeks door de inwoner van Belgie zouden zijn verkregen. </w:t>
      </w:r>
    </w:p>
    <w:p w:rsidR="000C22FD" w:rsidRPr="000C22FD" w:rsidRDefault="000C22FD" w:rsidP="000C22FD">
      <w:pPr>
        <w:shd w:val="clear" w:color="auto" w:fill="FFFFFF"/>
        <w:spacing w:after="24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NAMENS DE MINISTER :  </w:t>
      </w:r>
      <w:r w:rsidRPr="000C22FD">
        <w:rPr>
          <w:rFonts w:ascii="Titillium Web" w:eastAsia="Times New Roman" w:hAnsi="Titillium Web" w:cs="Times New Roman"/>
          <w:color w:val="444444"/>
          <w:sz w:val="20"/>
          <w:szCs w:val="20"/>
          <w:lang w:val="en-GB" w:eastAsia="en-GB"/>
        </w:rPr>
        <w:br/>
        <w:t>Voor de Directeur-generaal :  </w:t>
      </w:r>
      <w:r w:rsidRPr="000C22FD">
        <w:rPr>
          <w:rFonts w:ascii="Titillium Web" w:eastAsia="Times New Roman" w:hAnsi="Titillium Web" w:cs="Times New Roman"/>
          <w:color w:val="444444"/>
          <w:sz w:val="20"/>
          <w:szCs w:val="20"/>
          <w:lang w:val="en-GB" w:eastAsia="en-GB"/>
        </w:rPr>
        <w:br/>
        <w:t>De Auditeur-generaal, </w:t>
      </w:r>
    </w:p>
    <w:p w:rsidR="000C22FD" w:rsidRPr="000C22FD" w:rsidRDefault="000C22FD" w:rsidP="000C22FD">
      <w:pPr>
        <w:shd w:val="clear" w:color="auto" w:fill="FFFFFF"/>
        <w:spacing w:after="100" w:line="240" w:lineRule="auto"/>
        <w:rPr>
          <w:rFonts w:ascii="Titillium Web" w:eastAsia="Times New Roman" w:hAnsi="Titillium Web" w:cs="Times New Roman"/>
          <w:color w:val="444444"/>
          <w:sz w:val="20"/>
          <w:szCs w:val="20"/>
          <w:lang w:val="en-GB" w:eastAsia="en-GB"/>
        </w:rPr>
      </w:pPr>
      <w:r w:rsidRPr="000C22FD">
        <w:rPr>
          <w:rFonts w:ascii="Titillium Web" w:eastAsia="Times New Roman" w:hAnsi="Titillium Web" w:cs="Times New Roman"/>
          <w:color w:val="444444"/>
          <w:sz w:val="20"/>
          <w:szCs w:val="20"/>
          <w:lang w:val="en-GB" w:eastAsia="en-GB"/>
        </w:rPr>
        <w:t>G. DAUMERIE </w:t>
      </w:r>
    </w:p>
    <w:p w:rsidR="0006612D" w:rsidRPr="0006612D" w:rsidRDefault="0006612D" w:rsidP="000C22FD">
      <w:bookmarkStart w:id="1" w:name="_GoBack"/>
      <w:bookmarkEnd w:id="1"/>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4"/>
  </w:num>
  <w:num w:numId="4">
    <w:abstractNumId w:val="34"/>
  </w:num>
  <w:num w:numId="5">
    <w:abstractNumId w:val="5"/>
  </w:num>
  <w:num w:numId="6">
    <w:abstractNumId w:val="8"/>
  </w:num>
  <w:num w:numId="7">
    <w:abstractNumId w:val="35"/>
  </w:num>
  <w:num w:numId="8">
    <w:abstractNumId w:val="29"/>
  </w:num>
  <w:num w:numId="9">
    <w:abstractNumId w:val="15"/>
  </w:num>
  <w:num w:numId="10">
    <w:abstractNumId w:val="10"/>
  </w:num>
  <w:num w:numId="11">
    <w:abstractNumId w:val="33"/>
  </w:num>
  <w:num w:numId="12">
    <w:abstractNumId w:val="20"/>
  </w:num>
  <w:num w:numId="13">
    <w:abstractNumId w:val="36"/>
  </w:num>
  <w:num w:numId="14">
    <w:abstractNumId w:val="24"/>
  </w:num>
  <w:num w:numId="15">
    <w:abstractNumId w:val="19"/>
  </w:num>
  <w:num w:numId="16">
    <w:abstractNumId w:val="9"/>
  </w:num>
  <w:num w:numId="17">
    <w:abstractNumId w:val="3"/>
  </w:num>
  <w:num w:numId="18">
    <w:abstractNumId w:val="12"/>
  </w:num>
  <w:num w:numId="19">
    <w:abstractNumId w:val="32"/>
  </w:num>
  <w:num w:numId="20">
    <w:abstractNumId w:val="28"/>
  </w:num>
  <w:num w:numId="21">
    <w:abstractNumId w:val="2"/>
  </w:num>
  <w:num w:numId="22">
    <w:abstractNumId w:val="25"/>
  </w:num>
  <w:num w:numId="23">
    <w:abstractNumId w:val="23"/>
  </w:num>
  <w:num w:numId="24">
    <w:abstractNumId w:val="27"/>
  </w:num>
  <w:num w:numId="25">
    <w:abstractNumId w:val="31"/>
  </w:num>
  <w:num w:numId="26">
    <w:abstractNumId w:val="7"/>
  </w:num>
  <w:num w:numId="27">
    <w:abstractNumId w:val="13"/>
  </w:num>
  <w:num w:numId="28">
    <w:abstractNumId w:val="4"/>
  </w:num>
  <w:num w:numId="29">
    <w:abstractNumId w:val="16"/>
  </w:num>
  <w:num w:numId="30">
    <w:abstractNumId w:val="22"/>
  </w:num>
  <w:num w:numId="31">
    <w:abstractNumId w:val="30"/>
  </w:num>
  <w:num w:numId="32">
    <w:abstractNumId w:val="1"/>
  </w:num>
  <w:num w:numId="33">
    <w:abstractNumId w:val="11"/>
  </w:num>
  <w:num w:numId="34">
    <w:abstractNumId w:val="17"/>
  </w:num>
  <w:num w:numId="35">
    <w:abstractNumId w:val="18"/>
  </w:num>
  <w:num w:numId="36">
    <w:abstractNumId w:val="6"/>
  </w:num>
  <w:num w:numId="3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1753A"/>
    <w:rsid w:val="006206B0"/>
    <w:rsid w:val="0064181D"/>
    <w:rsid w:val="006451C8"/>
    <w:rsid w:val="006533C4"/>
    <w:rsid w:val="00687173"/>
    <w:rsid w:val="006A2EED"/>
    <w:rsid w:val="006C3A83"/>
    <w:rsid w:val="006D6E5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B2407"/>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2012</Words>
  <Characters>11993</Characters>
  <Application>Microsoft Office Word</Application>
  <DocSecurity>0</DocSecurity>
  <Lines>479</Lines>
  <Paragraphs>297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2019-05-23T16:35:00Z</dcterms:created>
  <dcterms:modified xsi:type="dcterms:W3CDTF">2019-05-23T16:35:00Z</dcterms:modified>
</cp:coreProperties>
</file>