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E09" w:rsidRPr="00BC0E09" w:rsidRDefault="00BC0E09" w:rsidP="00BC0E09">
      <w:pPr>
        <w:pStyle w:val="Kop1"/>
        <w:shd w:val="clear" w:color="auto" w:fill="FFFFFF"/>
        <w:rPr>
          <w:rFonts w:ascii="Titillium Web" w:hAnsi="Titillium Web"/>
          <w:b w:val="0"/>
          <w:bCs w:val="0"/>
          <w:color w:val="777777"/>
          <w:sz w:val="55"/>
          <w:szCs w:val="55"/>
          <w:lang w:val="nl-BE"/>
        </w:rPr>
      </w:pPr>
      <w:r w:rsidRPr="00BC0E09">
        <w:rPr>
          <w:rFonts w:ascii="Titillium Web" w:hAnsi="Titillium Web"/>
          <w:b w:val="0"/>
          <w:bCs w:val="0"/>
          <w:color w:val="777777"/>
          <w:sz w:val="55"/>
          <w:szCs w:val="55"/>
          <w:lang w:val="nl-BE"/>
        </w:rPr>
        <w:t>Circulaire nr. AFZ/2007-0577 (AFZ 7/2008) dd. 22.04.2008</w:t>
      </w:r>
    </w:p>
    <w:p w:rsidR="00BC0E09" w:rsidRDefault="00BC0E09" w:rsidP="00BC0E09">
      <w:pPr>
        <w:rPr>
          <w:rFonts w:ascii="Times New Roman" w:hAnsi="Times New Roman"/>
          <w:sz w:val="24"/>
          <w:szCs w:val="24"/>
        </w:rPr>
      </w:pPr>
      <w:r>
        <w:rPr>
          <w:rFonts w:ascii="Titillium Web" w:hAnsi="Titillium Web"/>
          <w:color w:val="444444"/>
          <w:sz w:val="20"/>
          <w:szCs w:val="20"/>
        </w:rPr>
        <w:br/>
      </w:r>
    </w:p>
    <w:p w:rsidR="00BC0E09" w:rsidRPr="00BC0E09" w:rsidRDefault="00BC0E09" w:rsidP="00BC0E09">
      <w:pPr>
        <w:pStyle w:val="Normaalweb"/>
        <w:shd w:val="clear" w:color="auto" w:fill="FFFFFF"/>
        <w:spacing w:after="240" w:afterAutospacing="0"/>
        <w:rPr>
          <w:rFonts w:ascii="Titillium Web" w:hAnsi="Titillium Web"/>
          <w:color w:val="444444"/>
          <w:sz w:val="20"/>
          <w:szCs w:val="20"/>
          <w:lang w:val="nl-BE"/>
        </w:rPr>
      </w:pPr>
      <w:r w:rsidRPr="00BC0E09">
        <w:rPr>
          <w:rStyle w:val="Zwaar"/>
          <w:rFonts w:ascii="Titillium Web" w:hAnsi="Titillium Web"/>
          <w:color w:val="444444"/>
          <w:sz w:val="20"/>
          <w:szCs w:val="20"/>
          <w:lang w:val="nl-BE"/>
        </w:rPr>
        <w:t>Circulaire nr. AFZ/2007-0577 (AFZ 7/2008) dd. 22.04.2008</w:t>
      </w:r>
    </w:p>
    <w:p w:rsidR="00BC0E09" w:rsidRPr="00BC0E09" w:rsidRDefault="00BC0E09" w:rsidP="00BC0E09">
      <w:pPr>
        <w:pStyle w:val="Normaalweb"/>
        <w:shd w:val="clear" w:color="auto" w:fill="FFFFFF"/>
        <w:spacing w:after="240" w:afterAutospacing="0"/>
        <w:rPr>
          <w:rFonts w:ascii="Titillium Web" w:hAnsi="Titillium Web"/>
          <w:color w:val="444444"/>
          <w:sz w:val="20"/>
          <w:szCs w:val="20"/>
          <w:lang w:val="nl-BE"/>
        </w:rPr>
      </w:pPr>
      <w:r w:rsidRPr="00BC0E09">
        <w:rPr>
          <w:rStyle w:val="Nadruk"/>
          <w:rFonts w:ascii="Titillium Web" w:hAnsi="Titillium Web"/>
          <w:color w:val="444444"/>
          <w:sz w:val="20"/>
          <w:szCs w:val="20"/>
          <w:lang w:val="nl-BE"/>
        </w:rPr>
        <w:t>DUBBELBELASTINGVERDRAG</w:t>
      </w:r>
      <w:r w:rsidRPr="00BC0E09">
        <w:rPr>
          <w:rFonts w:ascii="Titillium Web" w:hAnsi="Titillium Web"/>
          <w:i/>
          <w:iCs/>
          <w:color w:val="444444"/>
          <w:sz w:val="20"/>
          <w:szCs w:val="20"/>
          <w:lang w:val="nl-BE"/>
        </w:rPr>
        <w:br/>
      </w:r>
      <w:r w:rsidRPr="00BC0E09">
        <w:rPr>
          <w:rStyle w:val="Nadruk"/>
          <w:rFonts w:ascii="Titillium Web" w:hAnsi="Titillium Web"/>
          <w:color w:val="444444"/>
          <w:sz w:val="20"/>
          <w:szCs w:val="20"/>
          <w:lang w:val="nl-BE"/>
        </w:rPr>
        <w:t>   Clausule van meest begunstigde natie</w:t>
      </w:r>
      <w:r w:rsidRPr="00BC0E09">
        <w:rPr>
          <w:rFonts w:ascii="Titillium Web" w:hAnsi="Titillium Web"/>
          <w:i/>
          <w:iCs/>
          <w:color w:val="444444"/>
          <w:sz w:val="20"/>
          <w:szCs w:val="20"/>
          <w:lang w:val="nl-BE"/>
        </w:rPr>
        <w:br/>
      </w:r>
      <w:r w:rsidRPr="00BC0E09">
        <w:rPr>
          <w:rStyle w:val="Nadruk"/>
          <w:rFonts w:ascii="Titillium Web" w:hAnsi="Titillium Web"/>
          <w:color w:val="444444"/>
          <w:sz w:val="20"/>
          <w:szCs w:val="20"/>
          <w:lang w:val="nl-BE"/>
        </w:rPr>
        <w:t>   Lijst van de overeenkomsten</w:t>
      </w:r>
      <w:r w:rsidRPr="00BC0E09">
        <w:rPr>
          <w:rFonts w:ascii="Titillium Web" w:hAnsi="Titillium Web"/>
          <w:color w:val="444444"/>
          <w:sz w:val="20"/>
          <w:szCs w:val="20"/>
          <w:lang w:val="nl-BE"/>
        </w:rPr>
        <w:t> </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BC0E09">
        <w:rPr>
          <w:rFonts w:ascii="Titillium Web" w:hAnsi="Titillium Web"/>
          <w:color w:val="444444"/>
          <w:sz w:val="20"/>
          <w:szCs w:val="20"/>
          <w:lang w:val="nl-BE"/>
        </w:rPr>
        <w:t>.</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Style w:val="Zwaar"/>
          <w:rFonts w:ascii="Titillium Web" w:hAnsi="Titillium Web"/>
          <w:color w:val="444444"/>
          <w:sz w:val="20"/>
          <w:szCs w:val="20"/>
          <w:lang w:val="nl-BE"/>
        </w:rPr>
        <w:t>I.</w:t>
      </w:r>
      <w:r w:rsidRPr="00BC0E09">
        <w:rPr>
          <w:rFonts w:ascii="Titillium Web" w:hAnsi="Titillium Web"/>
          <w:color w:val="444444"/>
          <w:sz w:val="20"/>
          <w:szCs w:val="20"/>
          <w:lang w:val="nl-BE"/>
        </w:rPr>
        <w:t> </w:t>
      </w:r>
      <w:r w:rsidRPr="00BC0E09">
        <w:rPr>
          <w:rStyle w:val="Zwaar"/>
          <w:rFonts w:ascii="Titillium Web" w:hAnsi="Titillium Web"/>
          <w:color w:val="444444"/>
          <w:sz w:val="20"/>
          <w:szCs w:val="20"/>
          <w:lang w:val="nl-BE"/>
        </w:rPr>
        <w:t>DOEL EN CONTEXT</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u w:val="single"/>
          <w:lang w:val="nl-BE"/>
        </w:rPr>
        <w:t>Voorbeeld 1</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u w:val="single"/>
          <w:lang w:val="nl-BE"/>
        </w:rPr>
        <w:t>Voorbeeld 2</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sidRPr="00BC0E09">
        <w:rPr>
          <w:rFonts w:ascii="Titillium Web" w:hAnsi="Titillium Web"/>
          <w:color w:val="444444"/>
          <w:sz w:val="20"/>
          <w:szCs w:val="20"/>
          <w:lang w:val="nl-BE"/>
        </w:rPr>
        <w:lastRenderedPageBreak/>
        <w:t>niet gerechtigd is deze belasting te heffen in hoofde van Belgische vaste inrichtingen gevestigd in Oeganda (cf. Protocol nr. 9 bij de Overeenkomst België-Oeganda).</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u w:val="single"/>
          <w:lang w:val="nl-BE"/>
        </w:rPr>
        <w:t>Voorbeeld 3</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Fonts w:ascii="Titillium Web" w:hAnsi="Titillium Web"/>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BC0E09" w:rsidRPr="00BC0E09" w:rsidRDefault="00BC0E09" w:rsidP="00BC0E09">
      <w:pPr>
        <w:pStyle w:val="Normaalweb"/>
        <w:shd w:val="clear" w:color="auto" w:fill="FFFFFF"/>
        <w:rPr>
          <w:rFonts w:ascii="Titillium Web" w:hAnsi="Titillium Web"/>
          <w:color w:val="444444"/>
          <w:sz w:val="20"/>
          <w:szCs w:val="20"/>
          <w:lang w:val="nl-BE"/>
        </w:rPr>
      </w:pPr>
      <w:r w:rsidRPr="00BC0E09">
        <w:rPr>
          <w:rStyle w:val="Nadruk"/>
          <w:rFonts w:ascii="Titillium Web" w:hAnsi="Titillium Web"/>
          <w:color w:val="444444"/>
          <w:sz w:val="20"/>
          <w:szCs w:val="20"/>
          <w:lang w:val="nl-BE"/>
        </w:rPr>
        <w:t>[(1) Tot nader order blijft deze Overeenkomst van toepassing op Kirzigië, Moladvië, Tadzjikistan enTurkmenistan.]</w:t>
      </w:r>
    </w:p>
    <w:p w:rsidR="00BC0E09" w:rsidRDefault="00BC0E09" w:rsidP="00BC0E0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II. OVERZICHT MBN-CLAUSULES</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tabel hierna vindt u een overzicht van alle Belgische overeenkomsten waarin een MBN-clausule is opgenomen.</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3e kolom is aangeduid in welk artikel van de overeenkomst of protocol de clausule is opgenomen.</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BC0E09" w:rsidRDefault="00BC0E09" w:rsidP="00BC0E0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NAMENS DE MINISTER:</w:t>
      </w:r>
      <w:r>
        <w:rPr>
          <w:rFonts w:ascii="Titillium Web" w:hAnsi="Titillium Web"/>
          <w:color w:val="444444"/>
          <w:sz w:val="20"/>
          <w:szCs w:val="20"/>
        </w:rPr>
        <w:br/>
        <w:t>De adjunct-administrateur-generaal,</w:t>
      </w:r>
    </w:p>
    <w:p w:rsidR="00BC0E09" w:rsidRDefault="00BC0E09" w:rsidP="00BC0E0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BC0E09" w:rsidRDefault="00BC0E09" w:rsidP="00BC0E0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BC0E09" w:rsidRDefault="00BC0E09" w:rsidP="00BC0E09">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5</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rStyle w:val="Zwaar"/>
                <w:u w:val="single"/>
              </w:rPr>
              <w:t>Circulaire</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2 (mbt.art. 13, § 3)</w:t>
            </w:r>
          </w:p>
          <w:p w:rsidR="00BC0E09" w:rsidRDefault="00BC0E09">
            <w:pPr>
              <w:pStyle w:val="Normaalweb"/>
            </w:pPr>
            <w:r>
              <w:t>Protocol, nr. 2 (mbt. art.14, § 1)</w:t>
            </w:r>
          </w:p>
          <w:p w:rsidR="00BC0E09" w:rsidRDefault="00BC0E09">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lastRenderedPageBreak/>
              <w:t>Ja</w:t>
            </w:r>
          </w:p>
          <w:p w:rsidR="00BC0E09" w:rsidRDefault="00BC0E09">
            <w:pPr>
              <w:pStyle w:val="Normaalweb"/>
            </w:pPr>
            <w:r>
              <w:t>Neen</w:t>
            </w:r>
          </w:p>
          <w:p w:rsidR="00BC0E09" w:rsidRDefault="00BC0E09">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de-DE"/>
              </w:rPr>
              <w:t>AFZ/1996-0153 d.d.22.04.2008</w:t>
            </w:r>
          </w:p>
          <w:p w:rsidR="00BC0E09" w:rsidRDefault="00BC0E09">
            <w:pPr>
              <w:pStyle w:val="Normaalweb"/>
            </w:pPr>
            <w:r>
              <w:t>Idem</w:t>
            </w:r>
          </w:p>
          <w:p w:rsidR="00BC0E09" w:rsidRDefault="00BC0E09">
            <w:pPr>
              <w:pStyle w:val="Normaalweb"/>
            </w:pPr>
            <w:r>
              <w:t>Idem</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fr-FR"/>
              </w:rPr>
              <w:t>Circulaire Ci.R9.Bulgarije/401.452 d.d. 08.11.1993, punt IV, A, 3</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2 (mbt.art. 10)</w:t>
            </w:r>
          </w:p>
          <w:p w:rsidR="00BC0E09" w:rsidRDefault="00BC0E09">
            <w:pPr>
              <w:pStyle w:val="Normaalweb"/>
            </w:pPr>
            <w:r>
              <w:t>Protocol, nr. 2 (mbt. art.11)</w:t>
            </w:r>
          </w:p>
          <w:p w:rsidR="00BC0E09" w:rsidRDefault="00BC0E09">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p w:rsidR="00BC0E09" w:rsidRDefault="00BC0E09">
            <w:pPr>
              <w:pStyle w:val="Normaalweb"/>
            </w:pPr>
            <w:r>
              <w:t>Neen</w:t>
            </w:r>
          </w:p>
          <w:p w:rsidR="00BC0E09" w:rsidRDefault="00BC0E0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p w:rsidR="00BC0E09" w:rsidRDefault="00BC0E09">
            <w:pPr>
              <w:pStyle w:val="Normaalweb"/>
            </w:pPr>
            <w:r>
              <w:t>--------</w:t>
            </w:r>
          </w:p>
          <w:p w:rsidR="00BC0E09" w:rsidRDefault="00BC0E09">
            <w:pPr>
              <w:pStyle w:val="Normaalweb"/>
            </w:pPr>
            <w: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fr-FR"/>
              </w:rPr>
              <w:t>AFZ/1997-0066 d.d.22.04.2008</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AFZ/2006-0837 d.d.22.04.2008</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t>16/07/1997</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Art. VI</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t>(2)</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t>01/10/1997</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Art. 7, § 3</w:t>
            </w:r>
          </w:p>
          <w:p w:rsidR="00BC0E09" w:rsidRDefault="00BC0E09">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t>Neen</w:t>
            </w:r>
          </w:p>
          <w:p w:rsidR="00BC0E09" w:rsidRDefault="00BC0E0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fr-FR"/>
              </w:rPr>
              <w:t>Ci. nr.AFZ/INTERN.IB/INDIA d.d. 15/01/2001</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Protocol, nr. 5, b)(mbt. art. 10, § 6)</w:t>
            </w:r>
          </w:p>
          <w:p w:rsidR="00BC0E09" w:rsidRDefault="00BC0E09">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p w:rsidR="00BC0E09" w:rsidRDefault="00BC0E0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p w:rsidR="00BC0E09" w:rsidRDefault="00BC0E09">
            <w:pPr>
              <w:pStyle w:val="Normaalweb"/>
            </w:pPr>
            <w: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t>08/01/1991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Art. 20,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t>(4)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t>28/10/2000</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Art. 24, §6</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t>(5)</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t>07/05/2003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fr-FR"/>
              </w:rPr>
              <w:t>AFZ/1996-0425 d.d.22.04.2008</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u w:val="single"/>
                <w:lang w:val="fr-FR"/>
              </w:rPr>
              <w:t>AFZ/1996-0398 d.d.22.04.2008</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Protocol, nr. 1 (mbt.art. 12)</w:t>
            </w:r>
          </w:p>
          <w:p w:rsidR="00BC0E09" w:rsidRDefault="00BC0E09">
            <w:pPr>
              <w:pStyle w:val="Normaalweb"/>
            </w:pPr>
            <w:r>
              <w:t>Protocol, nr. 2 (mbt. art.23)</w:t>
            </w:r>
          </w:p>
          <w:p w:rsidR="00BC0E09" w:rsidRDefault="00BC0E09">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Ja</w:t>
            </w:r>
          </w:p>
          <w:p w:rsidR="00BC0E09" w:rsidRDefault="00BC0E09">
            <w:pPr>
              <w:pStyle w:val="Normaalweb"/>
            </w:pPr>
            <w:r>
              <w:t>Neen</w:t>
            </w:r>
          </w:p>
          <w:p w:rsidR="00BC0E09" w:rsidRDefault="00BC0E0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AFZ/1996-0201(7)</w:t>
            </w:r>
          </w:p>
          <w:p w:rsidR="00BC0E09" w:rsidRDefault="00BC0E09">
            <w:pPr>
              <w:pStyle w:val="Normaalweb"/>
            </w:pPr>
            <w:r>
              <w:t>Idem</w:t>
            </w:r>
          </w:p>
          <w:p w:rsidR="00BC0E09" w:rsidRDefault="00BC0E09">
            <w:pPr>
              <w:pStyle w:val="Normaalweb"/>
            </w:pPr>
            <w:r>
              <w:t>Idem</w:t>
            </w:r>
          </w:p>
        </w:tc>
      </w:tr>
      <w:tr w:rsidR="00BC0E09" w:rsidTr="00BC0E0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C0E09" w:rsidRDefault="00BC0E09">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C0E09" w:rsidRDefault="00BC0E09">
            <w:r>
              <w:rPr>
                <w:lang w:val="fr-FR"/>
              </w:rPr>
              <w:t>--------</w:t>
            </w:r>
          </w:p>
        </w:tc>
      </w:tr>
    </w:tbl>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BC0E09" w:rsidRDefault="00BC0E09" w:rsidP="00BC0E0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B422A3" w:rsidRPr="00BC0E09" w:rsidRDefault="00B422A3" w:rsidP="00BC0E09">
      <w:bookmarkStart w:id="0" w:name="_GoBack"/>
      <w:bookmarkEnd w:id="0"/>
    </w:p>
    <w:sectPr w:rsidR="00B422A3" w:rsidRPr="00BC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1A493D"/>
    <w:rsid w:val="003679F8"/>
    <w:rsid w:val="004006AC"/>
    <w:rsid w:val="006206B0"/>
    <w:rsid w:val="006974D0"/>
    <w:rsid w:val="00A403C7"/>
    <w:rsid w:val="00B422A3"/>
    <w:rsid w:val="00BC0E09"/>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93F"/>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505638602">
      <w:bodyDiv w:val="1"/>
      <w:marLeft w:val="0"/>
      <w:marRight w:val="0"/>
      <w:marTop w:val="0"/>
      <w:marBottom w:val="0"/>
      <w:divBdr>
        <w:top w:val="none" w:sz="0" w:space="0" w:color="auto"/>
        <w:left w:val="none" w:sz="0" w:space="0" w:color="auto"/>
        <w:bottom w:val="none" w:sz="0" w:space="0" w:color="auto"/>
        <w:right w:val="none" w:sz="0" w:space="0" w:color="auto"/>
      </w:divBdr>
      <w:divsChild>
        <w:div w:id="122599142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sChild>
        <w:div w:id="5406068">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2019-05-23T13:07:00Z</dcterms:created>
  <dcterms:modified xsi:type="dcterms:W3CDTF">2019-05-23T13:07:00Z</dcterms:modified>
</cp:coreProperties>
</file>