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C8" w:rsidRPr="00DB0AC8" w:rsidRDefault="00DB0AC8" w:rsidP="00DB0AC8">
      <w:pPr>
        <w:pStyle w:val="Kop1"/>
        <w:shd w:val="clear" w:color="auto" w:fill="FFFFFF"/>
        <w:rPr>
          <w:rFonts w:ascii="Verdana" w:hAnsi="Verdana"/>
          <w:b w:val="0"/>
          <w:bCs w:val="0"/>
          <w:color w:val="777777"/>
          <w:sz w:val="55"/>
          <w:szCs w:val="55"/>
          <w:lang w:val="nl-BE"/>
        </w:rPr>
      </w:pPr>
      <w:r w:rsidRPr="00DB0AC8">
        <w:rPr>
          <w:rFonts w:ascii="Verdana" w:hAnsi="Verdana"/>
          <w:b w:val="0"/>
          <w:bCs w:val="0"/>
          <w:color w:val="777777"/>
          <w:sz w:val="55"/>
          <w:szCs w:val="55"/>
          <w:lang w:val="nl-BE"/>
        </w:rPr>
        <w:t>Circulaire nr. AFZ/Intern.IB/96-0470 (AFZ 11/2002) dd. 06.05.2002</w:t>
      </w:r>
    </w:p>
    <w:p w:rsidR="00DB0AC8" w:rsidRDefault="00DB0AC8" w:rsidP="00DB0AC8">
      <w:pPr>
        <w:rPr>
          <w:rFonts w:ascii="Times New Roman" w:hAnsi="Times New Roman"/>
          <w:sz w:val="24"/>
          <w:szCs w:val="24"/>
        </w:rPr>
      </w:pPr>
      <w:r>
        <w:rPr>
          <w:rFonts w:ascii="Verdana" w:hAnsi="Verdana"/>
          <w:color w:val="444444"/>
          <w:sz w:val="20"/>
          <w:szCs w:val="20"/>
        </w:rPr>
        <w:br/>
      </w:r>
    </w:p>
    <w:p w:rsidR="00DB0AC8" w:rsidRDefault="00DB0AC8" w:rsidP="00DB0AC8">
      <w:pPr>
        <w:shd w:val="clear" w:color="auto" w:fill="FFFFFF"/>
        <w:spacing w:after="240"/>
        <w:rPr>
          <w:rFonts w:ascii="Verdana" w:hAnsi="Verdana"/>
          <w:color w:val="444444"/>
          <w:sz w:val="20"/>
          <w:szCs w:val="20"/>
        </w:rPr>
      </w:pPr>
      <w:bookmarkStart w:id="0" w:name="b80322b0-8a40-4733-8706-b38c8198dadd"/>
      <w:r>
        <w:rPr>
          <w:rFonts w:ascii="Verdana" w:hAnsi="Verdana"/>
          <w:b/>
          <w:bCs/>
          <w:color w:val="0072C6"/>
          <w:sz w:val="20"/>
          <w:szCs w:val="20"/>
        </w:rPr>
        <w:t>CIRC 06.05.02/2</w:t>
      </w:r>
      <w:bookmarkEnd w:id="0"/>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b/>
          <w:bCs/>
          <w:color w:val="444444"/>
          <w:sz w:val="20"/>
          <w:szCs w:val="20"/>
        </w:rPr>
        <w:t>Circulaire nr. AFZ/</w:t>
      </w:r>
      <w:proofErr w:type="spellStart"/>
      <w:r>
        <w:rPr>
          <w:rFonts w:ascii="Verdana" w:hAnsi="Verdana"/>
          <w:b/>
          <w:bCs/>
          <w:color w:val="444444"/>
          <w:sz w:val="20"/>
          <w:szCs w:val="20"/>
        </w:rPr>
        <w:t>Intern.IB</w:t>
      </w:r>
      <w:proofErr w:type="spellEnd"/>
      <w:r>
        <w:rPr>
          <w:rFonts w:ascii="Verdana" w:hAnsi="Verdana"/>
          <w:b/>
          <w:bCs/>
          <w:color w:val="444444"/>
          <w:sz w:val="20"/>
          <w:szCs w:val="20"/>
        </w:rPr>
        <w:t>/96-0470 (AFZ 11/2002) dd. 06.05.2002</w:t>
      </w:r>
      <w:r>
        <w:rPr>
          <w:rFonts w:ascii="Verdana" w:hAnsi="Verdana"/>
          <w:b/>
          <w:bCs/>
          <w:color w:val="444444"/>
          <w:sz w:val="20"/>
          <w:szCs w:val="20"/>
        </w:rPr>
        <w:br/>
      </w:r>
    </w:p>
    <w:p w:rsidR="00DB0AC8" w:rsidRDefault="00DB0AC8" w:rsidP="00DB0AC8">
      <w:pPr>
        <w:shd w:val="clear" w:color="auto" w:fill="FFFFFF"/>
        <w:rPr>
          <w:rFonts w:ascii="Verdana" w:hAnsi="Verdana"/>
          <w:color w:val="444444"/>
          <w:sz w:val="20"/>
          <w:szCs w:val="20"/>
        </w:rPr>
      </w:pPr>
      <w:r>
        <w:rPr>
          <w:rFonts w:ascii="Verdana" w:hAnsi="Verdana"/>
          <w:b/>
          <w:bCs/>
          <w:color w:val="444444"/>
          <w:sz w:val="20"/>
          <w:szCs w:val="20"/>
        </w:rPr>
        <w:t>Bull. nr. 828, pag. 1805-1812</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r>
      <w:hyperlink r:id="rId5" w:history="1">
        <w:r>
          <w:rPr>
            <w:rStyle w:val="Hyperlink"/>
            <w:rFonts w:ascii="Verdana" w:hAnsi="Verdana"/>
            <w:color w:val="663399"/>
            <w:sz w:val="20"/>
            <w:szCs w:val="20"/>
            <w:u w:val="none"/>
          </w:rPr>
          <w:t>Errata en addenda bij de circulaire AFZ/</w:t>
        </w:r>
        <w:proofErr w:type="spellStart"/>
        <w:r>
          <w:rPr>
            <w:rStyle w:val="Hyperlink"/>
            <w:rFonts w:ascii="Verdana" w:hAnsi="Verdana"/>
            <w:color w:val="663399"/>
            <w:sz w:val="20"/>
            <w:szCs w:val="20"/>
            <w:u w:val="none"/>
          </w:rPr>
          <w:t>Intern.IB</w:t>
        </w:r>
        <w:proofErr w:type="spellEnd"/>
        <w:r>
          <w:rPr>
            <w:rStyle w:val="Hyperlink"/>
            <w:rFonts w:ascii="Verdana" w:hAnsi="Verdana"/>
            <w:color w:val="663399"/>
            <w:sz w:val="20"/>
            <w:szCs w:val="20"/>
            <w:u w:val="none"/>
          </w:rPr>
          <w:t>/96-0470 dd. 26.10.2000</w:t>
        </w:r>
      </w:hyperlink>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i/>
          <w:iCs/>
          <w:color w:val="444444"/>
          <w:sz w:val="20"/>
          <w:szCs w:val="20"/>
        </w:rPr>
        <w:t>BELASTING VAN NIET-INWONERS NATUURLIJKE PERSONEN</w:t>
      </w:r>
      <w:r>
        <w:rPr>
          <w:rFonts w:ascii="Verdana" w:hAnsi="Verdana"/>
          <w:i/>
          <w:iCs/>
          <w:color w:val="444444"/>
          <w:sz w:val="20"/>
          <w:szCs w:val="20"/>
        </w:rPr>
        <w:br/>
        <w:t>   Berekening van de belasting</w:t>
      </w:r>
      <w:r>
        <w:rPr>
          <w:rFonts w:ascii="Verdana" w:hAnsi="Verdana"/>
          <w:i/>
          <w:iCs/>
          <w:color w:val="444444"/>
          <w:sz w:val="20"/>
          <w:szCs w:val="20"/>
        </w:rPr>
        <w:br/>
        <w:t>   Non-discriminatie</w:t>
      </w:r>
      <w:r>
        <w:rPr>
          <w:rFonts w:ascii="Verdana" w:hAnsi="Verdana"/>
          <w:i/>
          <w:iCs/>
          <w:color w:val="444444"/>
          <w:sz w:val="20"/>
          <w:szCs w:val="20"/>
        </w:rPr>
        <w:br/>
      </w:r>
      <w:r>
        <w:rPr>
          <w:rFonts w:ascii="Verdana" w:hAnsi="Verdana"/>
          <w:i/>
          <w:iCs/>
          <w:color w:val="444444"/>
          <w:sz w:val="20"/>
          <w:szCs w:val="20"/>
        </w:rPr>
        <w:br/>
        <w:t>DUBBELBELASTINGVERDRAG</w:t>
      </w:r>
      <w:r>
        <w:rPr>
          <w:rFonts w:ascii="Verdana" w:hAnsi="Verdana"/>
          <w:i/>
          <w:iCs/>
          <w:color w:val="444444"/>
          <w:sz w:val="20"/>
          <w:szCs w:val="20"/>
        </w:rPr>
        <w:br/>
        <w:t>   Frankrijk</w:t>
      </w:r>
      <w:r>
        <w:rPr>
          <w:rFonts w:ascii="Verdana" w:hAnsi="Verdana"/>
          <w:i/>
          <w:iCs/>
          <w:color w:val="444444"/>
          <w:sz w:val="20"/>
          <w:szCs w:val="20"/>
        </w:rPr>
        <w:br/>
        <w:t>   Non-discriminatie</w:t>
      </w:r>
      <w:r>
        <w:rPr>
          <w:rFonts w:ascii="Verdana" w:hAnsi="Verdana"/>
          <w:i/>
          <w:iCs/>
          <w:color w:val="444444"/>
          <w:sz w:val="20"/>
          <w:szCs w:val="20"/>
        </w:rPr>
        <w:br/>
        <w:t>   Regeling voor onderling overleg</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xml:space="preserve">Toepassingsmodaliteiten van het </w:t>
      </w:r>
      <w:proofErr w:type="spellStart"/>
      <w:r>
        <w:rPr>
          <w:rFonts w:ascii="Verdana" w:hAnsi="Verdana"/>
          <w:color w:val="444444"/>
          <w:sz w:val="20"/>
          <w:szCs w:val="20"/>
        </w:rPr>
        <w:t>Avenant</w:t>
      </w:r>
      <w:proofErr w:type="spellEnd"/>
      <w:r>
        <w:rPr>
          <w:rFonts w:ascii="Verdana" w:hAnsi="Verdana"/>
          <w:color w:val="444444"/>
          <w:sz w:val="20"/>
          <w:szCs w:val="20"/>
        </w:rPr>
        <w:t>, ondertekend op 8 februari 1999, tot wijziging van de Overeenkomst tussen België en Frankrijk tot voorkoming van dubbele belasting en tot regeling van wederzijdse administratieve en juridische bijstand inzake inkomstenbelastingen, ondertekend op 10 maart 1964 te Brussel. (Non-discriminatie). Errata en addenda.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Aan alle ambtenaren van de niveaus 1, 2+ en 2 van de Administratie van fiscale zaken, van de Administratie van de ondernemings- en inkomensfiscaliteit (sector directe belastingen), van de Administratie van de invordering (sector directe belastingen) en van de Administratie van de bijzondere belastinginspectie.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xml:space="preserve">    Deze circulaire heeft tot doel de toepassingsmodaliteiten aan te passen op het gebied van de non-discriminatie waarin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van 8 februari 1999 voorziet, zoals uitgelegd in de circulaire AFZ/</w:t>
      </w:r>
      <w:proofErr w:type="spellStart"/>
      <w:r>
        <w:rPr>
          <w:rFonts w:ascii="Verdana" w:hAnsi="Verdana"/>
          <w:color w:val="444444"/>
          <w:sz w:val="20"/>
          <w:szCs w:val="20"/>
        </w:rPr>
        <w:t>Intern.IB</w:t>
      </w:r>
      <w:proofErr w:type="spellEnd"/>
      <w:r>
        <w:rPr>
          <w:rFonts w:ascii="Verdana" w:hAnsi="Verdana"/>
          <w:color w:val="444444"/>
          <w:sz w:val="20"/>
          <w:szCs w:val="20"/>
        </w:rPr>
        <w:t xml:space="preserve">/96-0470 van 26 oktober 2000. Deze aanpassingen betreffen de proportionele vermindering van de belastingvrije som in verhouding van het Belgische beroepsinkomen tot het totale beroepsinkomen (rubrieken IV, C, 5. en 6.) alsmede de toekenning van belastingverminderingen voor het lange </w:t>
      </w:r>
      <w:proofErr w:type="spellStart"/>
      <w:r>
        <w:rPr>
          <w:rFonts w:ascii="Verdana" w:hAnsi="Verdana"/>
          <w:color w:val="444444"/>
          <w:sz w:val="20"/>
          <w:szCs w:val="20"/>
        </w:rPr>
        <w:t>termijnsparen</w:t>
      </w:r>
      <w:proofErr w:type="spellEnd"/>
      <w:r>
        <w:rPr>
          <w:rFonts w:ascii="Verdana" w:hAnsi="Verdana"/>
          <w:color w:val="444444"/>
          <w:sz w:val="20"/>
          <w:szCs w:val="20"/>
        </w:rPr>
        <w:t xml:space="preserve"> en het bouwsparen (rubriek IV, C, 7.).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circulaire vestigt bovendien de aandacht op de ongebruikelijke termijn van 6 maanden waarin de Belgisch-Franse Overeenkomst van 10 maart 1964 voorziet voor het indienen van een verzoek tot onderling overleg. </w:t>
      </w:r>
    </w:p>
    <w:p w:rsidR="00DB0AC8" w:rsidRDefault="00DB0AC8" w:rsidP="00DB0AC8">
      <w:pPr>
        <w:shd w:val="clear" w:color="auto" w:fill="FFFFFF"/>
        <w:spacing w:after="240"/>
        <w:rPr>
          <w:rFonts w:ascii="Verdana" w:hAnsi="Verdana"/>
          <w:color w:val="444444"/>
          <w:sz w:val="20"/>
          <w:szCs w:val="20"/>
        </w:rPr>
      </w:pPr>
      <w:r>
        <w:rPr>
          <w:rFonts w:ascii="Verdana" w:hAnsi="Verdana"/>
          <w:b/>
          <w:bCs/>
          <w:color w:val="444444"/>
          <w:sz w:val="20"/>
          <w:szCs w:val="20"/>
        </w:rPr>
        <w:t>1. BELASTINGVRIJE SOM - TOESLAGEN OP DE BELASTINGVRIJE SOM WEGENS GEZINSLASTEN</w:t>
      </w: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xml:space="preserve">    Bij de uitwerking van de geautomatiseerde berekening van de belasting overeenkomstig de bepalingen van artikel 2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van 8 februari 1999, is gebleken dat de proportionele vermindering van de belastingvrije som in verhouding van het Belgische beroepsinkomen tot het totale beroepsinkomen niet ten volle de toestand van de belastingplichtigen in aanmerking nam. De proportionele vermindering van de belastingvrije som ontneemt de belastingplichtigen het gunstige gevolg dat voortvloeit uit het in aanmerking nemen van de progressiviteit van de belasting.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Om dit nadeel op te heffen en de belastingplichtigen van een voordeligere berekening te laten genieten, werd er beslist om de belasting die betrekking heeft op de belastingvrije som liever dan de belastingvrije som zelf te verminderen in verhouding van het Belgische beroepsinkomen tot het totale beroepsinkomen.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voorbeelden (1) onder de rubrieken IV, C, 5. en IV, C, 6. moeten bijgevolg als volgt worden gewijzigd :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I.     Het echtpaar DUBOIS, inwoners van Frankrijk, geen kinderen ten laste, heeft in 1999 de volgende inkomsten verkregen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3"/>
        <w:gridCol w:w="3426"/>
        <w:gridCol w:w="4573"/>
      </w:tblGrid>
      <w:tr w:rsidR="00DB0AC8" w:rsidTr="00DB0AC8">
        <w:trPr>
          <w:tblCellSpacing w:w="15" w:type="dxa"/>
        </w:trPr>
        <w:tc>
          <w:tcPr>
            <w:tcW w:w="500" w:type="pct"/>
            <w:vAlign w:val="center"/>
            <w:hideMark/>
          </w:tcPr>
          <w:p w:rsidR="00DB0AC8" w:rsidRDefault="00DB0AC8">
            <w:pPr>
              <w:spacing w:after="0"/>
              <w:rPr>
                <w:rFonts w:ascii="Times New Roman" w:hAnsi="Times New Roman"/>
                <w:sz w:val="24"/>
                <w:szCs w:val="24"/>
              </w:rPr>
            </w:pPr>
            <w:r>
              <w:t>Man : </w:t>
            </w:r>
          </w:p>
        </w:tc>
        <w:tc>
          <w:tcPr>
            <w:tcW w:w="1650" w:type="pct"/>
            <w:vAlign w:val="center"/>
            <w:hideMark/>
          </w:tcPr>
          <w:p w:rsidR="00DB0AC8" w:rsidRDefault="00DB0AC8">
            <w:r>
              <w:t xml:space="preserve">belastbare </w:t>
            </w:r>
            <w:proofErr w:type="spellStart"/>
            <w:r>
              <w:t>nettobezoldiging</w:t>
            </w:r>
            <w:proofErr w:type="spellEnd"/>
            <w:r>
              <w:t xml:space="preserve"> uit Belgische bronnen : </w:t>
            </w:r>
          </w:p>
        </w:tc>
        <w:tc>
          <w:tcPr>
            <w:tcW w:w="2200" w:type="pct"/>
            <w:vAlign w:val="center"/>
            <w:hideMark/>
          </w:tcPr>
          <w:p w:rsidR="00DB0AC8" w:rsidRDefault="00DB0AC8">
            <w:r>
              <w:t>500.000 BEF;</w:t>
            </w:r>
          </w:p>
        </w:tc>
      </w:tr>
      <w:tr w:rsidR="00DB0AC8" w:rsidTr="00DB0AC8">
        <w:trPr>
          <w:tblCellSpacing w:w="15" w:type="dxa"/>
        </w:trPr>
        <w:tc>
          <w:tcPr>
            <w:tcW w:w="500" w:type="pct"/>
            <w:vAlign w:val="center"/>
            <w:hideMark/>
          </w:tcPr>
          <w:p w:rsidR="00DB0AC8" w:rsidRDefault="00DB0AC8"/>
        </w:tc>
        <w:tc>
          <w:tcPr>
            <w:tcW w:w="1650" w:type="pct"/>
            <w:vAlign w:val="center"/>
            <w:hideMark/>
          </w:tcPr>
          <w:p w:rsidR="00DB0AC8" w:rsidRDefault="00DB0AC8">
            <w:pPr>
              <w:rPr>
                <w:sz w:val="24"/>
                <w:szCs w:val="24"/>
              </w:rPr>
            </w:pPr>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900.000 BEF;</w:t>
            </w:r>
          </w:p>
        </w:tc>
      </w:tr>
      <w:tr w:rsidR="00DB0AC8" w:rsidTr="00DB0AC8">
        <w:trPr>
          <w:tblCellSpacing w:w="15" w:type="dxa"/>
        </w:trPr>
        <w:tc>
          <w:tcPr>
            <w:tcW w:w="500" w:type="pct"/>
            <w:vAlign w:val="center"/>
            <w:hideMark/>
          </w:tcPr>
          <w:p w:rsidR="00DB0AC8" w:rsidRDefault="00DB0AC8">
            <w:r>
              <w:t>Vrouw : </w:t>
            </w:r>
          </w:p>
        </w:tc>
        <w:tc>
          <w:tcPr>
            <w:tcW w:w="1650" w:type="pct"/>
            <w:vAlign w:val="center"/>
            <w:hideMark/>
          </w:tcPr>
          <w:p w:rsidR="00DB0AC8" w:rsidRDefault="00DB0AC8">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600.000 BEF.</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man zal als alleenstaande in de BNI/</w:t>
      </w:r>
      <w:proofErr w:type="spellStart"/>
      <w:r>
        <w:rPr>
          <w:rFonts w:ascii="Verdana" w:hAnsi="Verdana"/>
          <w:color w:val="444444"/>
          <w:sz w:val="20"/>
          <w:szCs w:val="20"/>
        </w:rPr>
        <w:t>nat.pers</w:t>
      </w:r>
      <w:proofErr w:type="spellEnd"/>
      <w:r>
        <w:rPr>
          <w:rFonts w:ascii="Verdana" w:hAnsi="Verdana"/>
          <w:color w:val="444444"/>
          <w:sz w:val="20"/>
          <w:szCs w:val="20"/>
        </w:rPr>
        <w:t>. worden belast vermits zijn echtgenote geen aan de BNI/</w:t>
      </w:r>
      <w:proofErr w:type="spellStart"/>
      <w:r>
        <w:rPr>
          <w:rFonts w:ascii="Verdana" w:hAnsi="Verdana"/>
          <w:color w:val="444444"/>
          <w:sz w:val="20"/>
          <w:szCs w:val="20"/>
        </w:rPr>
        <w:t>nat.pers</w:t>
      </w:r>
      <w:proofErr w:type="spellEnd"/>
      <w:r>
        <w:rPr>
          <w:rFonts w:ascii="Verdana" w:hAnsi="Verdana"/>
          <w:color w:val="444444"/>
          <w:sz w:val="20"/>
          <w:szCs w:val="20"/>
        </w:rPr>
        <w:t>. onderworpen inkomsten heeft verkregen en buitenlandse beroepsinkomsten heeft van meer dan 270.000 BEF (te indexeren bedrag).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Berekening van de vermindering van de belasting die betrekking heeft op de belastingvrije som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8"/>
        <w:gridCol w:w="3844"/>
      </w:tblGrid>
      <w:tr w:rsidR="00DB0AC8" w:rsidTr="00DB0AC8">
        <w:trPr>
          <w:tblCellSpacing w:w="15" w:type="dxa"/>
        </w:trPr>
        <w:tc>
          <w:tcPr>
            <w:tcW w:w="2500" w:type="pct"/>
            <w:vAlign w:val="center"/>
            <w:hideMark/>
          </w:tcPr>
          <w:p w:rsidR="00DB0AC8" w:rsidRDefault="00DB0AC8">
            <w:pPr>
              <w:shd w:val="clear" w:color="auto" w:fill="FFFFFF"/>
              <w:spacing w:after="240"/>
              <w:rPr>
                <w:rFonts w:ascii="Verdana" w:hAnsi="Verdana"/>
                <w:color w:val="444444"/>
                <w:sz w:val="20"/>
                <w:szCs w:val="20"/>
              </w:rPr>
            </w:pPr>
          </w:p>
        </w:tc>
        <w:tc>
          <w:tcPr>
            <w:tcW w:w="2500" w:type="pct"/>
            <w:vAlign w:val="center"/>
            <w:hideMark/>
          </w:tcPr>
          <w:p w:rsidR="00DB0AC8" w:rsidRDefault="00DB0AC8">
            <w:pPr>
              <w:rPr>
                <w:sz w:val="24"/>
                <w:szCs w:val="24"/>
              </w:rPr>
            </w:pPr>
            <w:r>
              <w:t>Belastingplichtige</w:t>
            </w:r>
          </w:p>
        </w:tc>
      </w:tr>
      <w:tr w:rsidR="00DB0AC8" w:rsidTr="00DB0AC8">
        <w:trPr>
          <w:tblCellSpacing w:w="15" w:type="dxa"/>
        </w:trPr>
        <w:tc>
          <w:tcPr>
            <w:tcW w:w="2500" w:type="pct"/>
            <w:vAlign w:val="center"/>
            <w:hideMark/>
          </w:tcPr>
          <w:p w:rsidR="00DB0AC8" w:rsidRDefault="00DB0AC8">
            <w:r>
              <w:t>Belastingvrije som</w:t>
            </w:r>
          </w:p>
        </w:tc>
        <w:tc>
          <w:tcPr>
            <w:tcW w:w="2500" w:type="pct"/>
            <w:vAlign w:val="center"/>
            <w:hideMark/>
          </w:tcPr>
          <w:p w:rsidR="00DB0AC8" w:rsidRDefault="00DB0AC8"/>
        </w:tc>
      </w:tr>
      <w:tr w:rsidR="00DB0AC8" w:rsidTr="00DB0AC8">
        <w:trPr>
          <w:tblCellSpacing w:w="15" w:type="dxa"/>
        </w:trPr>
        <w:tc>
          <w:tcPr>
            <w:tcW w:w="2500" w:type="pct"/>
            <w:vAlign w:val="center"/>
            <w:hideMark/>
          </w:tcPr>
          <w:p w:rsidR="00DB0AC8" w:rsidRDefault="00DB0AC8">
            <w:pPr>
              <w:rPr>
                <w:sz w:val="24"/>
                <w:szCs w:val="24"/>
              </w:rPr>
            </w:pPr>
            <w:r>
              <w:t>- Basisbedrag                                                                                  </w:t>
            </w:r>
          </w:p>
        </w:tc>
        <w:tc>
          <w:tcPr>
            <w:tcW w:w="2500" w:type="pct"/>
            <w:vAlign w:val="center"/>
            <w:hideMark/>
          </w:tcPr>
          <w:p w:rsidR="00DB0AC8" w:rsidRDefault="00DB0AC8">
            <w:r>
              <w:t>208.000</w:t>
            </w:r>
          </w:p>
        </w:tc>
      </w:tr>
      <w:tr w:rsidR="00DB0AC8" w:rsidTr="00DB0AC8">
        <w:trPr>
          <w:tblCellSpacing w:w="15" w:type="dxa"/>
        </w:trPr>
        <w:tc>
          <w:tcPr>
            <w:tcW w:w="2500" w:type="pct"/>
            <w:vAlign w:val="center"/>
            <w:hideMark/>
          </w:tcPr>
          <w:p w:rsidR="00DB0AC8" w:rsidRDefault="00DB0AC8">
            <w:r>
              <w:t>Belasting met betrekking tot de belastingvrije som</w:t>
            </w:r>
          </w:p>
        </w:tc>
        <w:tc>
          <w:tcPr>
            <w:tcW w:w="2500" w:type="pct"/>
            <w:vAlign w:val="center"/>
            <w:hideMark/>
          </w:tcPr>
          <w:p w:rsidR="00DB0AC8" w:rsidRDefault="00DB0AC8">
            <w:r>
              <w:t>52.000</w:t>
            </w:r>
          </w:p>
        </w:tc>
      </w:tr>
      <w:tr w:rsidR="00DB0AC8" w:rsidTr="00DB0AC8">
        <w:trPr>
          <w:tblCellSpacing w:w="15" w:type="dxa"/>
        </w:trPr>
        <w:tc>
          <w:tcPr>
            <w:tcW w:w="2500" w:type="pct"/>
            <w:vAlign w:val="center"/>
            <w:hideMark/>
          </w:tcPr>
          <w:p w:rsidR="00DB0AC8" w:rsidRDefault="00DB0AC8">
            <w:r>
              <w:t xml:space="preserve">Afgerond </w:t>
            </w:r>
            <w:proofErr w:type="spellStart"/>
            <w:r>
              <w:t>prorata</w:t>
            </w:r>
            <w:proofErr w:type="spellEnd"/>
            <w:r>
              <w:t xml:space="preserve"> (500.000/1.400.000)     </w:t>
            </w:r>
          </w:p>
        </w:tc>
        <w:tc>
          <w:tcPr>
            <w:tcW w:w="2500" w:type="pct"/>
            <w:vAlign w:val="center"/>
            <w:hideMark/>
          </w:tcPr>
          <w:p w:rsidR="00DB0AC8" w:rsidRDefault="00DB0AC8">
            <w:r>
              <w:t>35,71 % (2)</w:t>
            </w:r>
          </w:p>
        </w:tc>
      </w:tr>
      <w:tr w:rsidR="00DB0AC8" w:rsidTr="00DB0AC8">
        <w:trPr>
          <w:tblCellSpacing w:w="15" w:type="dxa"/>
        </w:trPr>
        <w:tc>
          <w:tcPr>
            <w:tcW w:w="2500" w:type="pct"/>
            <w:vAlign w:val="center"/>
            <w:hideMark/>
          </w:tcPr>
          <w:p w:rsidR="00DB0AC8" w:rsidRDefault="00DB0AC8">
            <w:r>
              <w:rPr>
                <w:b/>
                <w:bCs/>
              </w:rPr>
              <w:t>Beperkte belastingvermindering  </w:t>
            </w:r>
          </w:p>
        </w:tc>
        <w:tc>
          <w:tcPr>
            <w:tcW w:w="2500" w:type="pct"/>
            <w:vAlign w:val="center"/>
            <w:hideMark/>
          </w:tcPr>
          <w:p w:rsidR="00DB0AC8" w:rsidRDefault="00DB0AC8">
            <w:r>
              <w:rPr>
                <w:b/>
                <w:bCs/>
              </w:rPr>
              <w:t>18.571</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II.     Het echtpaar DUPONT, inwoners van Frankrijk, geen kinderen ten laste, heeft in 1999 de volgende inkomsten verkregen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3"/>
        <w:gridCol w:w="3426"/>
        <w:gridCol w:w="4573"/>
      </w:tblGrid>
      <w:tr w:rsidR="00DB0AC8" w:rsidTr="00DB0AC8">
        <w:trPr>
          <w:tblCellSpacing w:w="15" w:type="dxa"/>
        </w:trPr>
        <w:tc>
          <w:tcPr>
            <w:tcW w:w="500" w:type="pct"/>
            <w:vAlign w:val="center"/>
            <w:hideMark/>
          </w:tcPr>
          <w:p w:rsidR="00DB0AC8" w:rsidRDefault="00DB0AC8">
            <w:pPr>
              <w:spacing w:after="0"/>
              <w:rPr>
                <w:rFonts w:ascii="Times New Roman" w:hAnsi="Times New Roman"/>
                <w:sz w:val="24"/>
                <w:szCs w:val="24"/>
              </w:rPr>
            </w:pPr>
            <w:r>
              <w:t>Man : </w:t>
            </w:r>
          </w:p>
        </w:tc>
        <w:tc>
          <w:tcPr>
            <w:tcW w:w="1650" w:type="pct"/>
            <w:vAlign w:val="center"/>
            <w:hideMark/>
          </w:tcPr>
          <w:p w:rsidR="00DB0AC8" w:rsidRDefault="00DB0AC8">
            <w:r>
              <w:t xml:space="preserve">belastbare </w:t>
            </w:r>
            <w:proofErr w:type="spellStart"/>
            <w:r>
              <w:t>nettobezoldiging</w:t>
            </w:r>
            <w:proofErr w:type="spellEnd"/>
            <w:r>
              <w:t xml:space="preserve"> uit Belgische bronnen : </w:t>
            </w:r>
          </w:p>
        </w:tc>
        <w:tc>
          <w:tcPr>
            <w:tcW w:w="2200" w:type="pct"/>
            <w:vAlign w:val="center"/>
            <w:hideMark/>
          </w:tcPr>
          <w:p w:rsidR="00DB0AC8" w:rsidRDefault="00DB0AC8">
            <w:r>
              <w:t>800.000 BEF;</w:t>
            </w:r>
          </w:p>
        </w:tc>
      </w:tr>
      <w:tr w:rsidR="00DB0AC8" w:rsidTr="00DB0AC8">
        <w:trPr>
          <w:tblCellSpacing w:w="15" w:type="dxa"/>
        </w:trPr>
        <w:tc>
          <w:tcPr>
            <w:tcW w:w="500" w:type="pct"/>
            <w:vAlign w:val="center"/>
            <w:hideMark/>
          </w:tcPr>
          <w:p w:rsidR="00DB0AC8" w:rsidRDefault="00DB0AC8"/>
        </w:tc>
        <w:tc>
          <w:tcPr>
            <w:tcW w:w="1650" w:type="pct"/>
            <w:vAlign w:val="center"/>
            <w:hideMark/>
          </w:tcPr>
          <w:p w:rsidR="00DB0AC8" w:rsidRDefault="00DB0AC8">
            <w:pPr>
              <w:rPr>
                <w:sz w:val="24"/>
                <w:szCs w:val="24"/>
              </w:rPr>
            </w:pPr>
            <w:r>
              <w:t>pensioenen uit Belgische bronnen :</w:t>
            </w:r>
          </w:p>
        </w:tc>
        <w:tc>
          <w:tcPr>
            <w:tcW w:w="2200" w:type="pct"/>
            <w:vAlign w:val="center"/>
            <w:hideMark/>
          </w:tcPr>
          <w:p w:rsidR="00DB0AC8" w:rsidRDefault="00DB0AC8">
            <w:r>
              <w:t>300.000 BEF;</w:t>
            </w:r>
          </w:p>
        </w:tc>
      </w:tr>
      <w:tr w:rsidR="00DB0AC8" w:rsidTr="00DB0AC8">
        <w:trPr>
          <w:tblCellSpacing w:w="15" w:type="dxa"/>
        </w:trPr>
        <w:tc>
          <w:tcPr>
            <w:tcW w:w="500" w:type="pct"/>
            <w:vAlign w:val="center"/>
            <w:hideMark/>
          </w:tcPr>
          <w:p w:rsidR="00DB0AC8" w:rsidRDefault="00DB0AC8"/>
        </w:tc>
        <w:tc>
          <w:tcPr>
            <w:tcW w:w="1650" w:type="pct"/>
            <w:vAlign w:val="center"/>
            <w:hideMark/>
          </w:tcPr>
          <w:p w:rsidR="00DB0AC8" w:rsidRDefault="00DB0AC8">
            <w:pPr>
              <w:rPr>
                <w:sz w:val="24"/>
                <w:szCs w:val="24"/>
              </w:rPr>
            </w:pPr>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900.000 BEF;</w:t>
            </w:r>
          </w:p>
        </w:tc>
      </w:tr>
      <w:tr w:rsidR="00DB0AC8" w:rsidTr="00DB0AC8">
        <w:trPr>
          <w:tblCellSpacing w:w="15" w:type="dxa"/>
        </w:trPr>
        <w:tc>
          <w:tcPr>
            <w:tcW w:w="500" w:type="pct"/>
            <w:vAlign w:val="center"/>
            <w:hideMark/>
          </w:tcPr>
          <w:p w:rsidR="00DB0AC8" w:rsidRDefault="00DB0AC8">
            <w:r>
              <w:t>Vrouw : </w:t>
            </w:r>
          </w:p>
        </w:tc>
        <w:tc>
          <w:tcPr>
            <w:tcW w:w="1650" w:type="pct"/>
            <w:vAlign w:val="center"/>
            <w:hideMark/>
          </w:tcPr>
          <w:p w:rsidR="00DB0AC8" w:rsidRDefault="00DB0AC8">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197.000 BEF.</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Het echtpaar zal worden beschouwd als echtgenoten (de tweede voorwaarde om als alleenstaande te worden belast is niet vervuld, vermits de echtgenote beroepsinkomsten heeft van minder dan 270.000 BEF (te indexeren bedrag)). Er zal een huwelijksquotiënt van 43.000 BEF worden toegerekend aan de echtgenote ((800.000 x 30 %) - 197.000).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xml:space="preserve">        Het bedrag van 43.000 BEF zal volledig worden aangerekend op de gewone bezoldigingen die het voordeel genieten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(dit bedrag zal inderdaad het voordeel genieten van de bepalingen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bij het berekenen van de belasting die betrekking heeft op de inkomsten van de echtgenote).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Berekening van de vermindering van de belasting met betrekking tot de belastingvrije som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99"/>
        <w:gridCol w:w="2984"/>
        <w:gridCol w:w="3089"/>
      </w:tblGrid>
      <w:tr w:rsidR="00DB0AC8" w:rsidTr="00DB0AC8">
        <w:trPr>
          <w:trHeight w:val="315"/>
          <w:tblCellSpacing w:w="15" w:type="dxa"/>
        </w:trPr>
        <w:tc>
          <w:tcPr>
            <w:tcW w:w="1650" w:type="pct"/>
            <w:vAlign w:val="center"/>
            <w:hideMark/>
          </w:tcPr>
          <w:p w:rsidR="00DB0AC8" w:rsidRDefault="00DB0AC8">
            <w:pPr>
              <w:shd w:val="clear" w:color="auto" w:fill="FFFFFF"/>
              <w:spacing w:after="240"/>
              <w:rPr>
                <w:rFonts w:ascii="Verdana" w:hAnsi="Verdana"/>
                <w:color w:val="444444"/>
                <w:sz w:val="20"/>
                <w:szCs w:val="20"/>
              </w:rPr>
            </w:pPr>
          </w:p>
        </w:tc>
        <w:tc>
          <w:tcPr>
            <w:tcW w:w="1650" w:type="pct"/>
            <w:vAlign w:val="center"/>
            <w:hideMark/>
          </w:tcPr>
          <w:p w:rsidR="00DB0AC8" w:rsidRDefault="00DB0AC8">
            <w:pPr>
              <w:jc w:val="center"/>
              <w:rPr>
                <w:sz w:val="24"/>
                <w:szCs w:val="24"/>
              </w:rPr>
            </w:pPr>
            <w:r>
              <w:t>Belastingplichtige</w:t>
            </w:r>
          </w:p>
        </w:tc>
        <w:tc>
          <w:tcPr>
            <w:tcW w:w="1700" w:type="pct"/>
            <w:vAlign w:val="center"/>
            <w:hideMark/>
          </w:tcPr>
          <w:p w:rsidR="00DB0AC8" w:rsidRDefault="00DB0AC8">
            <w:pPr>
              <w:jc w:val="center"/>
            </w:pPr>
            <w:r>
              <w:t>Echtgenote</w:t>
            </w:r>
          </w:p>
        </w:tc>
      </w:tr>
      <w:tr w:rsidR="00DB0AC8" w:rsidTr="00DB0AC8">
        <w:trPr>
          <w:trHeight w:val="315"/>
          <w:tblCellSpacing w:w="15" w:type="dxa"/>
        </w:trPr>
        <w:tc>
          <w:tcPr>
            <w:tcW w:w="1650" w:type="pct"/>
            <w:vAlign w:val="center"/>
            <w:hideMark/>
          </w:tcPr>
          <w:p w:rsidR="00DB0AC8" w:rsidRDefault="00DB0AC8">
            <w:r>
              <w:t>Belastingvrije som</w:t>
            </w:r>
          </w:p>
        </w:tc>
        <w:tc>
          <w:tcPr>
            <w:tcW w:w="1650" w:type="pct"/>
            <w:vAlign w:val="center"/>
            <w:hideMark/>
          </w:tcPr>
          <w:p w:rsidR="00DB0AC8" w:rsidRDefault="00DB0AC8"/>
        </w:tc>
        <w:tc>
          <w:tcPr>
            <w:tcW w:w="1700" w:type="pct"/>
            <w:vAlign w:val="center"/>
            <w:hideMark/>
          </w:tcPr>
          <w:p w:rsidR="00DB0AC8" w:rsidRDefault="00DB0AC8">
            <w:pPr>
              <w:jc w:val="center"/>
              <w:rPr>
                <w:sz w:val="20"/>
                <w:szCs w:val="20"/>
              </w:rPr>
            </w:pPr>
          </w:p>
        </w:tc>
      </w:tr>
      <w:tr w:rsidR="00DB0AC8" w:rsidTr="00DB0AC8">
        <w:trPr>
          <w:trHeight w:val="315"/>
          <w:tblCellSpacing w:w="15" w:type="dxa"/>
        </w:trPr>
        <w:tc>
          <w:tcPr>
            <w:tcW w:w="1650" w:type="pct"/>
            <w:vAlign w:val="center"/>
            <w:hideMark/>
          </w:tcPr>
          <w:p w:rsidR="00DB0AC8" w:rsidRDefault="00DB0AC8">
            <w:pPr>
              <w:rPr>
                <w:sz w:val="24"/>
                <w:szCs w:val="24"/>
              </w:rPr>
            </w:pPr>
            <w:r>
              <w:t>- Basisbedrag</w:t>
            </w:r>
          </w:p>
        </w:tc>
        <w:tc>
          <w:tcPr>
            <w:tcW w:w="1650" w:type="pct"/>
            <w:vAlign w:val="center"/>
            <w:hideMark/>
          </w:tcPr>
          <w:p w:rsidR="00DB0AC8" w:rsidRDefault="00DB0AC8">
            <w:pPr>
              <w:jc w:val="center"/>
            </w:pPr>
            <w:r>
              <w:t>165.000</w:t>
            </w:r>
          </w:p>
        </w:tc>
        <w:tc>
          <w:tcPr>
            <w:tcW w:w="1700" w:type="pct"/>
            <w:vAlign w:val="center"/>
            <w:hideMark/>
          </w:tcPr>
          <w:p w:rsidR="00DB0AC8" w:rsidRDefault="00DB0AC8">
            <w:pPr>
              <w:jc w:val="center"/>
            </w:pPr>
            <w:r>
              <w:t>165.000</w:t>
            </w:r>
          </w:p>
        </w:tc>
      </w:tr>
      <w:tr w:rsidR="00DB0AC8" w:rsidTr="00DB0AC8">
        <w:trPr>
          <w:trHeight w:val="300"/>
          <w:tblCellSpacing w:w="15" w:type="dxa"/>
        </w:trPr>
        <w:tc>
          <w:tcPr>
            <w:tcW w:w="1650" w:type="pct"/>
            <w:vAlign w:val="center"/>
            <w:hideMark/>
          </w:tcPr>
          <w:p w:rsidR="00DB0AC8" w:rsidRDefault="00DB0AC8">
            <w:r>
              <w:t>  </w:t>
            </w:r>
          </w:p>
        </w:tc>
        <w:tc>
          <w:tcPr>
            <w:tcW w:w="1650" w:type="pct"/>
            <w:vAlign w:val="center"/>
            <w:hideMark/>
          </w:tcPr>
          <w:p w:rsidR="00DB0AC8" w:rsidRDefault="00DB0AC8"/>
        </w:tc>
        <w:tc>
          <w:tcPr>
            <w:tcW w:w="1700" w:type="pct"/>
            <w:vAlign w:val="center"/>
            <w:hideMark/>
          </w:tcPr>
          <w:p w:rsidR="00DB0AC8" w:rsidRDefault="00DB0AC8">
            <w:pPr>
              <w:jc w:val="center"/>
              <w:rPr>
                <w:sz w:val="20"/>
                <w:szCs w:val="20"/>
              </w:rPr>
            </w:pPr>
          </w:p>
        </w:tc>
      </w:tr>
      <w:tr w:rsidR="00DB0AC8" w:rsidTr="00DB0AC8">
        <w:trPr>
          <w:trHeight w:val="315"/>
          <w:tblCellSpacing w:w="15" w:type="dxa"/>
        </w:trPr>
        <w:tc>
          <w:tcPr>
            <w:tcW w:w="1650" w:type="pct"/>
            <w:vAlign w:val="center"/>
            <w:hideMark/>
          </w:tcPr>
          <w:p w:rsidR="00DB0AC8" w:rsidRDefault="00DB0AC8">
            <w:pPr>
              <w:rPr>
                <w:sz w:val="24"/>
                <w:szCs w:val="24"/>
              </w:rPr>
            </w:pPr>
            <w:r>
              <w:t>Belasting met betrekking tot de</w:t>
            </w:r>
          </w:p>
        </w:tc>
        <w:tc>
          <w:tcPr>
            <w:tcW w:w="1650" w:type="pct"/>
            <w:vAlign w:val="center"/>
            <w:hideMark/>
          </w:tcPr>
          <w:p w:rsidR="00DB0AC8" w:rsidRDefault="00DB0AC8"/>
        </w:tc>
        <w:tc>
          <w:tcPr>
            <w:tcW w:w="1700" w:type="pct"/>
            <w:vAlign w:val="center"/>
            <w:hideMark/>
          </w:tcPr>
          <w:p w:rsidR="00DB0AC8" w:rsidRDefault="00DB0AC8">
            <w:pPr>
              <w:jc w:val="center"/>
              <w:rPr>
                <w:sz w:val="20"/>
                <w:szCs w:val="20"/>
              </w:rPr>
            </w:pPr>
          </w:p>
        </w:tc>
      </w:tr>
      <w:tr w:rsidR="00DB0AC8" w:rsidTr="00DB0AC8">
        <w:trPr>
          <w:trHeight w:val="315"/>
          <w:tblCellSpacing w:w="15" w:type="dxa"/>
        </w:trPr>
        <w:tc>
          <w:tcPr>
            <w:tcW w:w="1650" w:type="pct"/>
            <w:vAlign w:val="center"/>
            <w:hideMark/>
          </w:tcPr>
          <w:p w:rsidR="00DB0AC8" w:rsidRDefault="00DB0AC8">
            <w:pPr>
              <w:rPr>
                <w:sz w:val="24"/>
                <w:szCs w:val="24"/>
              </w:rPr>
            </w:pPr>
            <w:r>
              <w:t>belastingvrije som</w:t>
            </w:r>
          </w:p>
        </w:tc>
        <w:tc>
          <w:tcPr>
            <w:tcW w:w="1650" w:type="pct"/>
            <w:vAlign w:val="center"/>
            <w:hideMark/>
          </w:tcPr>
          <w:p w:rsidR="00DB0AC8" w:rsidRDefault="00DB0AC8">
            <w:pPr>
              <w:jc w:val="center"/>
            </w:pPr>
            <w:r>
              <w:t>41.250 </w:t>
            </w:r>
          </w:p>
        </w:tc>
        <w:tc>
          <w:tcPr>
            <w:tcW w:w="1700" w:type="pct"/>
            <w:vAlign w:val="center"/>
            <w:hideMark/>
          </w:tcPr>
          <w:p w:rsidR="00DB0AC8" w:rsidRDefault="00DB0AC8">
            <w:pPr>
              <w:jc w:val="center"/>
            </w:pPr>
            <w:r>
              <w:t>41.250</w:t>
            </w:r>
          </w:p>
        </w:tc>
      </w:tr>
      <w:tr w:rsidR="00DB0AC8" w:rsidTr="00DB0AC8">
        <w:trPr>
          <w:trHeight w:val="315"/>
          <w:tblCellSpacing w:w="15" w:type="dxa"/>
        </w:trPr>
        <w:tc>
          <w:tcPr>
            <w:tcW w:w="1650" w:type="pct"/>
            <w:vAlign w:val="center"/>
            <w:hideMark/>
          </w:tcPr>
          <w:p w:rsidR="00DB0AC8" w:rsidRDefault="00DB0AC8">
            <w:r>
              <w:t xml:space="preserve">Afgerond </w:t>
            </w:r>
            <w:proofErr w:type="spellStart"/>
            <w:r>
              <w:t>prorata</w:t>
            </w:r>
            <w:proofErr w:type="spellEnd"/>
          </w:p>
        </w:tc>
        <w:tc>
          <w:tcPr>
            <w:tcW w:w="1650" w:type="pct"/>
            <w:vAlign w:val="center"/>
            <w:hideMark/>
          </w:tcPr>
          <w:p w:rsidR="00DB0AC8" w:rsidRDefault="00DB0AC8">
            <w:pPr>
              <w:jc w:val="center"/>
            </w:pPr>
            <w:r>
              <w:t>38,68 % (2)</w:t>
            </w:r>
          </w:p>
        </w:tc>
        <w:tc>
          <w:tcPr>
            <w:tcW w:w="1700" w:type="pct"/>
            <w:vAlign w:val="center"/>
            <w:hideMark/>
          </w:tcPr>
          <w:p w:rsidR="00DB0AC8" w:rsidRDefault="00DB0AC8">
            <w:pPr>
              <w:jc w:val="center"/>
            </w:pPr>
            <w:r>
              <w:t>17,92 % (2)</w:t>
            </w:r>
          </w:p>
        </w:tc>
      </w:tr>
      <w:tr w:rsidR="00DB0AC8" w:rsidTr="00DB0AC8">
        <w:trPr>
          <w:trHeight w:val="315"/>
          <w:tblCellSpacing w:w="15" w:type="dxa"/>
        </w:trPr>
        <w:tc>
          <w:tcPr>
            <w:tcW w:w="1650" w:type="pct"/>
            <w:vAlign w:val="center"/>
            <w:hideMark/>
          </w:tcPr>
          <w:p w:rsidR="00DB0AC8" w:rsidRDefault="00DB0AC8">
            <w:pPr>
              <w:jc w:val="center"/>
            </w:pPr>
          </w:p>
        </w:tc>
        <w:tc>
          <w:tcPr>
            <w:tcW w:w="1650" w:type="pct"/>
            <w:vAlign w:val="center"/>
            <w:hideMark/>
          </w:tcPr>
          <w:p w:rsidR="00DB0AC8" w:rsidRDefault="00DB0AC8">
            <w:pPr>
              <w:jc w:val="center"/>
              <w:rPr>
                <w:sz w:val="24"/>
                <w:szCs w:val="24"/>
              </w:rPr>
            </w:pPr>
            <w:r>
              <w:t>(757.000/1.957.000)</w:t>
            </w:r>
          </w:p>
        </w:tc>
        <w:tc>
          <w:tcPr>
            <w:tcW w:w="1700" w:type="pct"/>
            <w:vAlign w:val="center"/>
            <w:hideMark/>
          </w:tcPr>
          <w:p w:rsidR="00DB0AC8" w:rsidRDefault="00DB0AC8">
            <w:pPr>
              <w:jc w:val="center"/>
            </w:pPr>
            <w:r>
              <w:t>(43.000/240.000)</w:t>
            </w:r>
          </w:p>
        </w:tc>
      </w:tr>
      <w:tr w:rsidR="00DB0AC8" w:rsidTr="00DB0AC8">
        <w:trPr>
          <w:trHeight w:val="315"/>
          <w:tblCellSpacing w:w="15" w:type="dxa"/>
        </w:trPr>
        <w:tc>
          <w:tcPr>
            <w:tcW w:w="1650" w:type="pct"/>
            <w:vAlign w:val="center"/>
            <w:hideMark/>
          </w:tcPr>
          <w:p w:rsidR="00DB0AC8" w:rsidRDefault="00DB0AC8">
            <w:r>
              <w:rPr>
                <w:b/>
                <w:bCs/>
              </w:rPr>
              <w:t>Beperkte belastingvermindering </w:t>
            </w:r>
          </w:p>
        </w:tc>
        <w:tc>
          <w:tcPr>
            <w:tcW w:w="1650" w:type="pct"/>
            <w:vAlign w:val="center"/>
            <w:hideMark/>
          </w:tcPr>
          <w:p w:rsidR="00DB0AC8" w:rsidRDefault="00DB0AC8">
            <w:pPr>
              <w:jc w:val="center"/>
            </w:pPr>
            <w:r>
              <w:rPr>
                <w:b/>
                <w:bCs/>
              </w:rPr>
              <w:t>15.956</w:t>
            </w:r>
          </w:p>
        </w:tc>
        <w:tc>
          <w:tcPr>
            <w:tcW w:w="1700" w:type="pct"/>
            <w:vAlign w:val="center"/>
            <w:hideMark/>
          </w:tcPr>
          <w:p w:rsidR="00DB0AC8" w:rsidRDefault="00DB0AC8">
            <w:pPr>
              <w:jc w:val="center"/>
            </w:pPr>
            <w:r>
              <w:rPr>
                <w:b/>
                <w:bCs/>
              </w:rPr>
              <w:t>7.391</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III. Het echtpaar MARTIN, inwoners van Frankrijk, met 3 kinderen ten laste, heeft in 1999 de volgende inkomsten verkregen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3"/>
        <w:gridCol w:w="3426"/>
        <w:gridCol w:w="4573"/>
      </w:tblGrid>
      <w:tr w:rsidR="00DB0AC8" w:rsidTr="00DB0AC8">
        <w:trPr>
          <w:tblCellSpacing w:w="15" w:type="dxa"/>
        </w:trPr>
        <w:tc>
          <w:tcPr>
            <w:tcW w:w="500" w:type="pct"/>
            <w:vAlign w:val="center"/>
            <w:hideMark/>
          </w:tcPr>
          <w:p w:rsidR="00DB0AC8" w:rsidRDefault="00DB0AC8">
            <w:pPr>
              <w:spacing w:after="0"/>
              <w:rPr>
                <w:rFonts w:ascii="Times New Roman" w:hAnsi="Times New Roman"/>
                <w:sz w:val="24"/>
                <w:szCs w:val="24"/>
              </w:rPr>
            </w:pPr>
            <w:r>
              <w:t>Man : </w:t>
            </w:r>
          </w:p>
        </w:tc>
        <w:tc>
          <w:tcPr>
            <w:tcW w:w="1650" w:type="pct"/>
            <w:vAlign w:val="center"/>
            <w:hideMark/>
          </w:tcPr>
          <w:p w:rsidR="00DB0AC8" w:rsidRDefault="00DB0AC8">
            <w:r>
              <w:t xml:space="preserve">belastbare </w:t>
            </w:r>
            <w:proofErr w:type="spellStart"/>
            <w:r>
              <w:t>nettobezoldiging</w:t>
            </w:r>
            <w:proofErr w:type="spellEnd"/>
            <w:r>
              <w:t xml:space="preserve"> uit Belgische bronnen : </w:t>
            </w:r>
          </w:p>
        </w:tc>
        <w:tc>
          <w:tcPr>
            <w:tcW w:w="2200" w:type="pct"/>
            <w:vAlign w:val="center"/>
            <w:hideMark/>
          </w:tcPr>
          <w:p w:rsidR="00DB0AC8" w:rsidRDefault="00DB0AC8">
            <w:r>
              <w:t>700.000 BEF;</w:t>
            </w:r>
          </w:p>
        </w:tc>
      </w:tr>
      <w:tr w:rsidR="00DB0AC8" w:rsidTr="00DB0AC8">
        <w:trPr>
          <w:tblCellSpacing w:w="15" w:type="dxa"/>
        </w:trPr>
        <w:tc>
          <w:tcPr>
            <w:tcW w:w="500" w:type="pct"/>
            <w:vAlign w:val="center"/>
            <w:hideMark/>
          </w:tcPr>
          <w:p w:rsidR="00DB0AC8" w:rsidRDefault="00DB0AC8"/>
        </w:tc>
        <w:tc>
          <w:tcPr>
            <w:tcW w:w="1650" w:type="pct"/>
            <w:vAlign w:val="center"/>
            <w:hideMark/>
          </w:tcPr>
          <w:p w:rsidR="00DB0AC8" w:rsidRDefault="00DB0AC8">
            <w:pPr>
              <w:rPr>
                <w:sz w:val="24"/>
                <w:szCs w:val="24"/>
              </w:rPr>
            </w:pPr>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700.000 BEF;</w:t>
            </w:r>
          </w:p>
        </w:tc>
      </w:tr>
      <w:tr w:rsidR="00DB0AC8" w:rsidTr="00DB0AC8">
        <w:trPr>
          <w:tblCellSpacing w:w="15" w:type="dxa"/>
        </w:trPr>
        <w:tc>
          <w:tcPr>
            <w:tcW w:w="500" w:type="pct"/>
            <w:vAlign w:val="center"/>
            <w:hideMark/>
          </w:tcPr>
          <w:p w:rsidR="00DB0AC8" w:rsidRDefault="00DB0AC8">
            <w:r>
              <w:t>Vrouw : </w:t>
            </w:r>
          </w:p>
        </w:tc>
        <w:tc>
          <w:tcPr>
            <w:tcW w:w="1650" w:type="pct"/>
            <w:vAlign w:val="center"/>
            <w:hideMark/>
          </w:tcPr>
          <w:p w:rsidR="00DB0AC8" w:rsidRDefault="00DB0AC8">
            <w:r>
              <w:t xml:space="preserve">belastbare </w:t>
            </w:r>
            <w:proofErr w:type="spellStart"/>
            <w:r>
              <w:t>nettobezoldiging</w:t>
            </w:r>
            <w:proofErr w:type="spellEnd"/>
            <w:r>
              <w:t xml:space="preserve"> uit Franse bronnen :</w:t>
            </w:r>
          </w:p>
        </w:tc>
        <w:tc>
          <w:tcPr>
            <w:tcW w:w="2200" w:type="pct"/>
            <w:vAlign w:val="center"/>
            <w:hideMark/>
          </w:tcPr>
          <w:p w:rsidR="00DB0AC8" w:rsidRDefault="00DB0AC8">
            <w:r>
              <w:t>600.000 BEF.</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man zal als alleenstaande in de BNI/</w:t>
      </w:r>
      <w:proofErr w:type="spellStart"/>
      <w:r>
        <w:rPr>
          <w:rFonts w:ascii="Verdana" w:hAnsi="Verdana"/>
          <w:color w:val="444444"/>
          <w:sz w:val="20"/>
          <w:szCs w:val="20"/>
        </w:rPr>
        <w:t>nat.pers</w:t>
      </w:r>
      <w:proofErr w:type="spellEnd"/>
      <w:r>
        <w:rPr>
          <w:rFonts w:ascii="Verdana" w:hAnsi="Verdana"/>
          <w:color w:val="444444"/>
          <w:sz w:val="20"/>
          <w:szCs w:val="20"/>
        </w:rPr>
        <w:t>. worden belast vermits zijn echtgenote buitenlandse beroepsinkomsten heeft van meer dan 270.000 BEF (te indexeren bedrag). Hij zal de toeslag op de belastingvrije som wegens gezinslasten genieten aangezien zijn beroepsinkomsten hoger zijn dan die van zijn echtgenote.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Berekening van de vermindering van de belasting met betrekking tot de belastingvrije som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DB0AC8" w:rsidTr="00DB0AC8">
        <w:trPr>
          <w:tblCellSpacing w:w="15" w:type="dxa"/>
        </w:trPr>
        <w:tc>
          <w:tcPr>
            <w:tcW w:w="2500" w:type="pct"/>
            <w:vAlign w:val="center"/>
            <w:hideMark/>
          </w:tcPr>
          <w:p w:rsidR="00DB0AC8" w:rsidRDefault="00DB0AC8">
            <w:pPr>
              <w:shd w:val="clear" w:color="auto" w:fill="FFFFFF"/>
              <w:spacing w:after="240"/>
              <w:rPr>
                <w:rFonts w:ascii="Verdana" w:hAnsi="Verdana"/>
                <w:color w:val="444444"/>
                <w:sz w:val="20"/>
                <w:szCs w:val="20"/>
              </w:rPr>
            </w:pPr>
          </w:p>
        </w:tc>
        <w:tc>
          <w:tcPr>
            <w:tcW w:w="2500" w:type="pct"/>
            <w:vAlign w:val="center"/>
            <w:hideMark/>
          </w:tcPr>
          <w:p w:rsidR="00DB0AC8" w:rsidRDefault="00DB0AC8">
            <w:pPr>
              <w:rPr>
                <w:sz w:val="24"/>
                <w:szCs w:val="24"/>
              </w:rPr>
            </w:pPr>
            <w:r>
              <w:t>Belastingplichtige</w:t>
            </w:r>
          </w:p>
        </w:tc>
      </w:tr>
      <w:tr w:rsidR="00DB0AC8" w:rsidTr="00DB0AC8">
        <w:trPr>
          <w:tblCellSpacing w:w="15" w:type="dxa"/>
        </w:trPr>
        <w:tc>
          <w:tcPr>
            <w:tcW w:w="2500" w:type="pct"/>
            <w:vAlign w:val="center"/>
            <w:hideMark/>
          </w:tcPr>
          <w:p w:rsidR="00DB0AC8" w:rsidRDefault="00DB0AC8">
            <w:r>
              <w:t>Gezamenlijk belastbare inkomsten</w:t>
            </w:r>
          </w:p>
        </w:tc>
        <w:tc>
          <w:tcPr>
            <w:tcW w:w="2500" w:type="pct"/>
            <w:vAlign w:val="center"/>
            <w:hideMark/>
          </w:tcPr>
          <w:p w:rsidR="00DB0AC8" w:rsidRDefault="00DB0AC8">
            <w:r>
              <w:t>700.000</w:t>
            </w:r>
          </w:p>
        </w:tc>
      </w:tr>
      <w:tr w:rsidR="00DB0AC8" w:rsidTr="00DB0AC8">
        <w:trPr>
          <w:tblCellSpacing w:w="15" w:type="dxa"/>
        </w:trPr>
        <w:tc>
          <w:tcPr>
            <w:tcW w:w="2500" w:type="pct"/>
            <w:vAlign w:val="center"/>
            <w:hideMark/>
          </w:tcPr>
          <w:p w:rsidR="00DB0AC8" w:rsidRDefault="00DB0AC8">
            <w:r>
              <w:t>Belastingvrije som</w:t>
            </w:r>
          </w:p>
        </w:tc>
        <w:tc>
          <w:tcPr>
            <w:tcW w:w="2500" w:type="pct"/>
            <w:vAlign w:val="center"/>
            <w:hideMark/>
          </w:tcPr>
          <w:p w:rsidR="00DB0AC8" w:rsidRDefault="00DB0AC8"/>
        </w:tc>
      </w:tr>
      <w:tr w:rsidR="00DB0AC8" w:rsidTr="00DB0AC8">
        <w:trPr>
          <w:tblCellSpacing w:w="15" w:type="dxa"/>
        </w:trPr>
        <w:tc>
          <w:tcPr>
            <w:tcW w:w="2500" w:type="pct"/>
            <w:vAlign w:val="center"/>
            <w:hideMark/>
          </w:tcPr>
          <w:p w:rsidR="00DB0AC8" w:rsidRDefault="00DB0AC8">
            <w:pPr>
              <w:rPr>
                <w:sz w:val="24"/>
                <w:szCs w:val="24"/>
              </w:rPr>
            </w:pPr>
            <w:r>
              <w:t>- Basisbedrag</w:t>
            </w:r>
          </w:p>
        </w:tc>
        <w:tc>
          <w:tcPr>
            <w:tcW w:w="2500" w:type="pct"/>
            <w:vAlign w:val="center"/>
            <w:hideMark/>
          </w:tcPr>
          <w:p w:rsidR="00DB0AC8" w:rsidRDefault="00DB0AC8">
            <w:r>
              <w:t>208.000</w:t>
            </w:r>
          </w:p>
        </w:tc>
      </w:tr>
      <w:tr w:rsidR="00DB0AC8" w:rsidTr="00DB0AC8">
        <w:trPr>
          <w:tblCellSpacing w:w="15" w:type="dxa"/>
        </w:trPr>
        <w:tc>
          <w:tcPr>
            <w:tcW w:w="2500" w:type="pct"/>
            <w:vAlign w:val="center"/>
            <w:hideMark/>
          </w:tcPr>
          <w:p w:rsidR="00DB0AC8" w:rsidRDefault="00DB0AC8">
            <w:r>
              <w:t>- Toeslag voor 3 kinderen ten laste</w:t>
            </w:r>
          </w:p>
        </w:tc>
        <w:tc>
          <w:tcPr>
            <w:tcW w:w="2500" w:type="pct"/>
            <w:vAlign w:val="center"/>
            <w:hideMark/>
          </w:tcPr>
          <w:p w:rsidR="00DB0AC8" w:rsidRDefault="00DB0AC8">
            <w:r>
              <w:t>255.000</w:t>
            </w:r>
          </w:p>
        </w:tc>
      </w:tr>
      <w:tr w:rsidR="00DB0AC8" w:rsidTr="00DB0AC8">
        <w:trPr>
          <w:tblCellSpacing w:w="15" w:type="dxa"/>
        </w:trPr>
        <w:tc>
          <w:tcPr>
            <w:tcW w:w="2500" w:type="pct"/>
            <w:vAlign w:val="center"/>
            <w:hideMark/>
          </w:tcPr>
          <w:p w:rsidR="00DB0AC8" w:rsidRDefault="00DB0AC8"/>
        </w:tc>
        <w:tc>
          <w:tcPr>
            <w:tcW w:w="2500" w:type="pct"/>
            <w:vAlign w:val="center"/>
            <w:hideMark/>
          </w:tcPr>
          <w:p w:rsidR="00DB0AC8" w:rsidRDefault="00DB0AC8">
            <w:pPr>
              <w:rPr>
                <w:sz w:val="24"/>
                <w:szCs w:val="24"/>
              </w:rPr>
            </w:pPr>
            <w:r>
              <w:t>---------</w:t>
            </w:r>
          </w:p>
        </w:tc>
      </w:tr>
      <w:tr w:rsidR="00DB0AC8" w:rsidTr="00DB0AC8">
        <w:trPr>
          <w:tblCellSpacing w:w="15" w:type="dxa"/>
        </w:trPr>
        <w:tc>
          <w:tcPr>
            <w:tcW w:w="2500" w:type="pct"/>
            <w:vAlign w:val="center"/>
            <w:hideMark/>
          </w:tcPr>
          <w:p w:rsidR="00DB0AC8" w:rsidRDefault="00DB0AC8">
            <w:r>
              <w:t> Totaal</w:t>
            </w:r>
          </w:p>
        </w:tc>
        <w:tc>
          <w:tcPr>
            <w:tcW w:w="2500" w:type="pct"/>
            <w:vAlign w:val="center"/>
            <w:hideMark/>
          </w:tcPr>
          <w:p w:rsidR="00DB0AC8" w:rsidRDefault="00DB0AC8">
            <w:r>
              <w:t>463.000</w:t>
            </w:r>
          </w:p>
        </w:tc>
      </w:tr>
      <w:tr w:rsidR="00DB0AC8" w:rsidTr="00DB0AC8">
        <w:trPr>
          <w:tblCellSpacing w:w="15" w:type="dxa"/>
        </w:trPr>
        <w:tc>
          <w:tcPr>
            <w:tcW w:w="2500" w:type="pct"/>
            <w:vAlign w:val="center"/>
            <w:hideMark/>
          </w:tcPr>
          <w:p w:rsidR="00DB0AC8" w:rsidRDefault="00DB0AC8">
            <w:r>
              <w:t>Belasting verbonden met de belastingvrije som   </w:t>
            </w:r>
          </w:p>
        </w:tc>
        <w:tc>
          <w:tcPr>
            <w:tcW w:w="2500" w:type="pct"/>
            <w:vAlign w:val="center"/>
            <w:hideMark/>
          </w:tcPr>
          <w:p w:rsidR="00DB0AC8" w:rsidRDefault="00DB0AC8">
            <w:r>
              <w:t>138.550</w:t>
            </w:r>
          </w:p>
        </w:tc>
      </w:tr>
      <w:tr w:rsidR="00DB0AC8" w:rsidTr="00DB0AC8">
        <w:trPr>
          <w:tblCellSpacing w:w="15" w:type="dxa"/>
        </w:trPr>
        <w:tc>
          <w:tcPr>
            <w:tcW w:w="2500" w:type="pct"/>
            <w:vAlign w:val="center"/>
            <w:hideMark/>
          </w:tcPr>
          <w:p w:rsidR="00DB0AC8" w:rsidRDefault="00DB0AC8">
            <w:proofErr w:type="spellStart"/>
            <w:r>
              <w:t>Prorata</w:t>
            </w:r>
            <w:proofErr w:type="spellEnd"/>
            <w:r>
              <w:t xml:space="preserve"> (700.000/1.400.000) </w:t>
            </w:r>
          </w:p>
        </w:tc>
        <w:tc>
          <w:tcPr>
            <w:tcW w:w="2500" w:type="pct"/>
            <w:vAlign w:val="center"/>
            <w:hideMark/>
          </w:tcPr>
          <w:p w:rsidR="00DB0AC8" w:rsidRDefault="00DB0AC8">
            <w:r>
              <w:t>50,00 %</w:t>
            </w:r>
          </w:p>
        </w:tc>
      </w:tr>
      <w:tr w:rsidR="00DB0AC8" w:rsidTr="00DB0AC8">
        <w:trPr>
          <w:tblCellSpacing w:w="15" w:type="dxa"/>
        </w:trPr>
        <w:tc>
          <w:tcPr>
            <w:tcW w:w="2500" w:type="pct"/>
            <w:vAlign w:val="center"/>
            <w:hideMark/>
          </w:tcPr>
          <w:p w:rsidR="00DB0AC8" w:rsidRDefault="00DB0AC8">
            <w:r>
              <w:rPr>
                <w:b/>
                <w:bCs/>
              </w:rPr>
              <w:t>Beperkte belastingvermindering </w:t>
            </w:r>
          </w:p>
        </w:tc>
        <w:tc>
          <w:tcPr>
            <w:tcW w:w="2500" w:type="pct"/>
            <w:vAlign w:val="center"/>
            <w:hideMark/>
          </w:tcPr>
          <w:p w:rsidR="00DB0AC8" w:rsidRDefault="00DB0AC8">
            <w:r>
              <w:rPr>
                <w:b/>
                <w:bCs/>
              </w:rPr>
              <w:t>62.275</w:t>
            </w:r>
          </w:p>
        </w:tc>
      </w:tr>
    </w:tbl>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b/>
          <w:bCs/>
          <w:color w:val="444444"/>
          <w:sz w:val="20"/>
          <w:szCs w:val="20"/>
        </w:rPr>
        <w:t>2. BELASTINGVERMINDERING VOOR HET LANGE TERMIJNSPAREN EN HET BOUWSPAREN</w:t>
      </w: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In tegenstelling tot hetgeen werd vermeld in de circulaire van 26 oktober 2000 kunnen de bedoelde personen (zie rubriek A van de genoemde circulaire), zoals in het verleden, integraal van die verminderingen genieten.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vermindering voor betalingen die zijn verricht in het kader van het pensioensparen, wordt ook toegekend aan de inwoners van Frankrijk, indien zij bij het openen van de rekening of bij het ondertekenen van het verzekeringscontract inwoner waren van België. Deze vermindering wordt toegekend in verhouding van de in rubriek B bedoelde inkomsten van de circulaire van 26 oktober 2000 tot het totale beroepsinkomen waarvan zij de begunstigde zijn. Deze in de rubriek C, 1. van genoemde circulaire bedoelde breuk wordt gebruikt om deze evenredigheid te realiseren.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b/>
          <w:bCs/>
          <w:color w:val="444444"/>
          <w:sz w:val="20"/>
          <w:szCs w:val="20"/>
        </w:rPr>
        <w:t>3. TERMIJN VOOR HET INDIENEN VAN EEN VERZOEK TOT ONDERLING OVERLEG</w:t>
      </w: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Artikel 24, paragraaf 3 van de Belgisch-Franse Overeenkomst van 10 maart 1964 bepaalt dat de bevoegde autoriteiten van beide Staten, in onderling overleg, de toestand van de belastingplichtigen regelen die het voorwerp uitmaken van een dubbele belasting die niet in overeenstemming is met de bepalingen van de Overeenkomst. Daartoe moet de belastingplichtige een aanvraag indienen vóór het verstrijken van een </w:t>
      </w:r>
      <w:r>
        <w:rPr>
          <w:rFonts w:ascii="Verdana" w:hAnsi="Verdana"/>
          <w:b/>
          <w:bCs/>
          <w:color w:val="444444"/>
          <w:sz w:val="20"/>
          <w:szCs w:val="20"/>
        </w:rPr>
        <w:t>termijn van 6 maanden</w:t>
      </w:r>
      <w:r>
        <w:rPr>
          <w:rFonts w:ascii="Verdana" w:hAnsi="Verdana"/>
          <w:color w:val="444444"/>
          <w:sz w:val="20"/>
          <w:szCs w:val="20"/>
        </w:rPr>
        <w:t> vanaf de datum van de bronheffing of de kennisgeving van de aanslag die vervolgens werd gevestigd en die voor hem aanleiding geeft tot dubbele belasting.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meeste door België gesloten overeenkomsten ter voorkoming van dubbele belasting voorzien in een termijn van 3 jaar voor het indienen van een verzoek tot onderling overleg. Aangezien de termijn van zes maanden die met Frankrijk is voorzien ongewoon kort is, wordt aan de controle- en/of invorderingsdiensten aanbevolen de aandacht van de belastingplichtigen, telkens wanneer het geval zich voordoet, te vestigen op de noodzaak snel te handelen als zij een regeling tot onderling overleg tussen de beide Staten wensen te verkrijgen.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Artikel 24, paragraaf 3 vormt bovendien geen hinderpaal voor de verhaalprocedures waarin het interne recht voorziet. In België verhindert deze bepaling derhalve niet :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indiening binnen een termijn van 3 maanden, van een bezwaar op basis van arti</w:t>
      </w:r>
      <w:r>
        <w:rPr>
          <w:rFonts w:ascii="Verdana" w:hAnsi="Verdana"/>
          <w:color w:val="444444"/>
          <w:sz w:val="20"/>
          <w:szCs w:val="20"/>
        </w:rPr>
        <w:softHyphen/>
        <w:t>kel 366 WIB 1992; wanneer dat bezwaar laat gelden dat de gevestigde belasting in België leidt of zou kunnen leiden tot een dubbele belasting, vormt dit bezwaar impliciet een aanvraag die is ingediend op basis van artikel 24, paragraaf 3 en wordt een gemeenschappelijk overleg aangevat met Frankrijk;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de toekenning op basis van artikel 376, paragraaf 1 WIB 1992, van een ontheffing van ambtswege van de overbelasting door een dubbele belasting vastgesteld binnen de 3 jaar vanaf 1 januari van het jaar waarin de Belgische belasting werd gevestigd.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De Adjunct-administrateur-generaal </w:t>
      </w:r>
      <w:r>
        <w:rPr>
          <w:rFonts w:ascii="Verdana" w:hAnsi="Verdana"/>
          <w:color w:val="444444"/>
          <w:sz w:val="20"/>
          <w:szCs w:val="20"/>
        </w:rPr>
        <w:br/>
        <w:t>van de belastingen,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J.-M. DELPORTE.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(1) In de oorspronkelijke circulaire zijn de voorbeelden met betrekking tot de inkomsten verkregen in 1999 uitgedrukt in Belgische frank. De aangepaste voorbeelden zijn bijgevolg ook uitgedrukt in Belgische frank en niet in euro. </w:t>
      </w:r>
    </w:p>
    <w:p w:rsidR="00DB0AC8" w:rsidRDefault="00DB0AC8" w:rsidP="00DB0AC8">
      <w:pPr>
        <w:shd w:val="clear" w:color="auto" w:fill="FFFFFF"/>
        <w:spacing w:after="240"/>
        <w:rPr>
          <w:rFonts w:ascii="Verdana" w:hAnsi="Verdana"/>
          <w:color w:val="444444"/>
          <w:sz w:val="20"/>
          <w:szCs w:val="20"/>
        </w:rPr>
      </w:pPr>
      <w:r>
        <w:rPr>
          <w:rFonts w:ascii="Verdana" w:hAnsi="Verdana"/>
          <w:color w:val="444444"/>
          <w:sz w:val="20"/>
          <w:szCs w:val="20"/>
        </w:rPr>
        <w:t xml:space="preserve">(2) Het </w:t>
      </w:r>
      <w:proofErr w:type="spellStart"/>
      <w:r>
        <w:rPr>
          <w:rFonts w:ascii="Verdana" w:hAnsi="Verdana"/>
          <w:color w:val="444444"/>
          <w:sz w:val="20"/>
          <w:szCs w:val="20"/>
        </w:rPr>
        <w:t>prorata</w:t>
      </w:r>
      <w:proofErr w:type="spellEnd"/>
      <w:r>
        <w:rPr>
          <w:rFonts w:ascii="Verdana" w:hAnsi="Verdana"/>
          <w:color w:val="444444"/>
          <w:sz w:val="20"/>
          <w:szCs w:val="20"/>
        </w:rPr>
        <w:t xml:space="preserve"> afgerond tot het tweede cijfer na de komma komt voor in de berekeningsnota. De beperkte belastingvermindering wordt echter berekend door het geheel van de decimalen van het bedoelde </w:t>
      </w:r>
      <w:proofErr w:type="spellStart"/>
      <w:r>
        <w:rPr>
          <w:rFonts w:ascii="Verdana" w:hAnsi="Verdana"/>
          <w:color w:val="444444"/>
          <w:sz w:val="20"/>
          <w:szCs w:val="20"/>
        </w:rPr>
        <w:t>prorata</w:t>
      </w:r>
      <w:proofErr w:type="spellEnd"/>
      <w:r>
        <w:rPr>
          <w:rFonts w:ascii="Verdana" w:hAnsi="Verdana"/>
          <w:color w:val="444444"/>
          <w:sz w:val="20"/>
          <w:szCs w:val="20"/>
        </w:rPr>
        <w:t xml:space="preserve"> in aanmerking te nemen. </w:t>
      </w:r>
    </w:p>
    <w:p w:rsidR="000D364A" w:rsidRPr="00DB0AC8" w:rsidRDefault="000D364A" w:rsidP="00DB0AC8">
      <w:bookmarkStart w:id="1" w:name="_GoBack"/>
      <w:bookmarkEnd w:id="1"/>
    </w:p>
    <w:sectPr w:rsidR="000D364A" w:rsidRPr="00DB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goToFisconetLink('fe14a92b-0931-4e39-ad56-e555b4192b55',%20'undefin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8520</Characters>
  <Application>Microsoft Office Word</Application>
  <DocSecurity>0</DocSecurity>
  <Lines>189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2019-05-22T15:45:00Z</dcterms:created>
  <dcterms:modified xsi:type="dcterms:W3CDTF">2019-05-22T15:45:00Z</dcterms:modified>
</cp:coreProperties>
</file>