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B57" w:rsidRPr="00A44B57" w:rsidRDefault="00A44B57" w:rsidP="00A44B57">
      <w:pPr>
        <w:pStyle w:val="Kop1"/>
        <w:shd w:val="clear" w:color="auto" w:fill="FFFFFF"/>
        <w:rPr>
          <w:rFonts w:ascii="Titillium Web" w:hAnsi="Titillium Web"/>
          <w:b w:val="0"/>
          <w:bCs w:val="0"/>
          <w:color w:val="777777"/>
          <w:sz w:val="55"/>
          <w:szCs w:val="55"/>
          <w:lang w:val="nl-BE"/>
        </w:rPr>
      </w:pPr>
      <w:r w:rsidRPr="00A44B57">
        <w:rPr>
          <w:rFonts w:ascii="Titillium Web" w:hAnsi="Titillium Web"/>
          <w:b w:val="0"/>
          <w:bCs w:val="0"/>
          <w:color w:val="777777"/>
          <w:sz w:val="55"/>
          <w:szCs w:val="55"/>
          <w:lang w:val="nl-BE"/>
        </w:rPr>
        <w:t>Circulaire nr. AFZ/2007-0577 (AFZ 7/2008) dd. 22.04.2008</w:t>
      </w:r>
    </w:p>
    <w:p w:rsidR="00A44B57" w:rsidRDefault="00A44B57" w:rsidP="00A44B57">
      <w:pPr>
        <w:rPr>
          <w:rFonts w:ascii="Times New Roman" w:hAnsi="Times New Roman"/>
          <w:sz w:val="24"/>
          <w:szCs w:val="24"/>
        </w:rPr>
      </w:pPr>
      <w:r>
        <w:rPr>
          <w:rFonts w:ascii="Titillium Web" w:hAnsi="Titillium Web"/>
          <w:color w:val="444444"/>
          <w:sz w:val="20"/>
          <w:szCs w:val="20"/>
        </w:rPr>
        <w:br/>
      </w:r>
    </w:p>
    <w:p w:rsidR="00A44B57" w:rsidRPr="00A44B57" w:rsidRDefault="00A44B57" w:rsidP="00A44B57">
      <w:pPr>
        <w:pStyle w:val="Normaalweb"/>
        <w:shd w:val="clear" w:color="auto" w:fill="FFFFFF"/>
        <w:spacing w:after="240" w:afterAutospacing="0"/>
        <w:rPr>
          <w:rFonts w:ascii="Titillium Web" w:hAnsi="Titillium Web"/>
          <w:color w:val="444444"/>
          <w:sz w:val="20"/>
          <w:szCs w:val="20"/>
          <w:lang w:val="nl-BE"/>
        </w:rPr>
      </w:pPr>
      <w:r w:rsidRPr="00A44B57">
        <w:rPr>
          <w:rStyle w:val="Zwaar"/>
          <w:rFonts w:ascii="Titillium Web" w:hAnsi="Titillium Web"/>
          <w:color w:val="444444"/>
          <w:sz w:val="20"/>
          <w:szCs w:val="20"/>
          <w:lang w:val="nl-BE"/>
        </w:rPr>
        <w:t>Circulaire nr. AFZ/2007-0577 (AFZ 7/2008) dd. 22.04.2008</w:t>
      </w:r>
    </w:p>
    <w:p w:rsidR="00A44B57" w:rsidRPr="00A44B57" w:rsidRDefault="00A44B57" w:rsidP="00A44B57">
      <w:pPr>
        <w:pStyle w:val="Normaalweb"/>
        <w:shd w:val="clear" w:color="auto" w:fill="FFFFFF"/>
        <w:spacing w:after="240" w:afterAutospacing="0"/>
        <w:rPr>
          <w:rFonts w:ascii="Titillium Web" w:hAnsi="Titillium Web"/>
          <w:color w:val="444444"/>
          <w:sz w:val="20"/>
          <w:szCs w:val="20"/>
          <w:lang w:val="nl-BE"/>
        </w:rPr>
      </w:pPr>
      <w:r w:rsidRPr="00A44B57">
        <w:rPr>
          <w:rStyle w:val="Nadruk"/>
          <w:rFonts w:ascii="Titillium Web" w:hAnsi="Titillium Web"/>
          <w:color w:val="444444"/>
          <w:sz w:val="20"/>
          <w:szCs w:val="20"/>
          <w:lang w:val="nl-BE"/>
        </w:rPr>
        <w:t>DUBBELBELASTINGVERDRAG</w:t>
      </w:r>
      <w:r w:rsidRPr="00A44B57">
        <w:rPr>
          <w:rFonts w:ascii="Titillium Web" w:hAnsi="Titillium Web"/>
          <w:i/>
          <w:iCs/>
          <w:color w:val="444444"/>
          <w:sz w:val="20"/>
          <w:szCs w:val="20"/>
          <w:lang w:val="nl-BE"/>
        </w:rPr>
        <w:br/>
      </w:r>
      <w:r w:rsidRPr="00A44B57">
        <w:rPr>
          <w:rStyle w:val="Nadruk"/>
          <w:rFonts w:ascii="Titillium Web" w:hAnsi="Titillium Web"/>
          <w:color w:val="444444"/>
          <w:sz w:val="20"/>
          <w:szCs w:val="20"/>
          <w:lang w:val="nl-BE"/>
        </w:rPr>
        <w:t>   Clausule van meest begunstigde natie</w:t>
      </w:r>
      <w:r w:rsidRPr="00A44B57">
        <w:rPr>
          <w:rFonts w:ascii="Titillium Web" w:hAnsi="Titillium Web"/>
          <w:i/>
          <w:iCs/>
          <w:color w:val="444444"/>
          <w:sz w:val="20"/>
          <w:szCs w:val="20"/>
          <w:lang w:val="nl-BE"/>
        </w:rPr>
        <w:br/>
      </w:r>
      <w:r w:rsidRPr="00A44B57">
        <w:rPr>
          <w:rStyle w:val="Nadruk"/>
          <w:rFonts w:ascii="Titillium Web" w:hAnsi="Titillium Web"/>
          <w:color w:val="444444"/>
          <w:sz w:val="20"/>
          <w:szCs w:val="20"/>
          <w:lang w:val="nl-BE"/>
        </w:rPr>
        <w:t>   Lijst van de overeenkomsten</w:t>
      </w:r>
      <w:r w:rsidRPr="00A44B57">
        <w:rPr>
          <w:rFonts w:ascii="Titillium Web" w:hAnsi="Titillium Web"/>
          <w:color w:val="444444"/>
          <w:sz w:val="20"/>
          <w:szCs w:val="20"/>
          <w:lang w:val="nl-BE"/>
        </w:rPr>
        <w:t> </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A44B57">
        <w:rPr>
          <w:rFonts w:ascii="Titillium Web" w:hAnsi="Titillium Web"/>
          <w:color w:val="444444"/>
          <w:sz w:val="20"/>
          <w:szCs w:val="20"/>
          <w:lang w:val="nl-BE"/>
        </w:rPr>
        <w:t>.</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Style w:val="Zwaar"/>
          <w:rFonts w:ascii="Titillium Web" w:hAnsi="Titillium Web"/>
          <w:color w:val="444444"/>
          <w:sz w:val="20"/>
          <w:szCs w:val="20"/>
          <w:lang w:val="nl-BE"/>
        </w:rPr>
        <w:t>I.</w:t>
      </w:r>
      <w:r w:rsidRPr="00A44B57">
        <w:rPr>
          <w:rFonts w:ascii="Titillium Web" w:hAnsi="Titillium Web"/>
          <w:color w:val="444444"/>
          <w:sz w:val="20"/>
          <w:szCs w:val="20"/>
          <w:lang w:val="nl-BE"/>
        </w:rPr>
        <w:t> </w:t>
      </w:r>
      <w:r w:rsidRPr="00A44B57">
        <w:rPr>
          <w:rStyle w:val="Zwaar"/>
          <w:rFonts w:ascii="Titillium Web" w:hAnsi="Titillium Web"/>
          <w:color w:val="444444"/>
          <w:sz w:val="20"/>
          <w:szCs w:val="20"/>
          <w:lang w:val="nl-BE"/>
        </w:rPr>
        <w:t>DOEL EN CONTEXT</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lang w:val="nl-BE"/>
        </w:rPr>
        <w:t>    In een aantal Belgische overeenkomsten ter vermijding van dubbele belasting is een zogenaamde "clausule van meest begunstigde natie" (hierna genaamd "MBN-clausule") opgenomen.</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u w:val="single"/>
          <w:lang w:val="nl-BE"/>
        </w:rPr>
        <w:t>Voorbeeld 1</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lang w:val="nl-BE"/>
        </w:rPr>
        <w:t>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België (cf. Procotol nr. 3 bij de Overeenkomst België-Ecuador ondertekend op 18.12.1996).</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u w:val="single"/>
          <w:lang w:val="nl-BE"/>
        </w:rPr>
        <w:t>Voorbeeld 2</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lang w:val="nl-BE"/>
        </w:rPr>
        <w:t xml:space="preserve">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w:t>
      </w:r>
      <w:r w:rsidRPr="00A44B57">
        <w:rPr>
          <w:rFonts w:ascii="Titillium Web" w:hAnsi="Titillium Web"/>
          <w:color w:val="444444"/>
          <w:sz w:val="20"/>
          <w:szCs w:val="20"/>
          <w:lang w:val="nl-BE"/>
        </w:rPr>
        <w:lastRenderedPageBreak/>
        <w:t>niet gerechtigd is deze belasting te heffen in hoofde van Belgische vaste inrichtingen gevestigd in Oeganda (cf. Protocol nr. 9 bij de Overeenkomst België-Oeganda).</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u w:val="single"/>
          <w:lang w:val="nl-BE"/>
        </w:rPr>
        <w:t>Voorbeeld 3</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Style w:val="Nadruk"/>
          <w:rFonts w:ascii="Titillium Web" w:hAnsi="Titillium Web"/>
          <w:color w:val="444444"/>
          <w:sz w:val="20"/>
          <w:szCs w:val="20"/>
          <w:lang w:val="nl-BE"/>
        </w:rPr>
        <w:t>[(1) Tot nader order blijft deze Overeenkomst van toepassing op Kirzigië, Moladvië, Tadzjikistan enTurkmenistan.]</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Style w:val="Zwaar"/>
          <w:rFonts w:ascii="Titillium Web" w:hAnsi="Titillium Web"/>
          <w:color w:val="444444"/>
          <w:sz w:val="20"/>
          <w:szCs w:val="20"/>
          <w:lang w:val="nl-BE"/>
        </w:rPr>
        <w:t>II. OVERZICHT MBN-CLAUSULES</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lang w:val="nl-BE"/>
        </w:rPr>
        <w:t>    In de tabel hierna vindt u een overzicht van alle Belgische overeenkomsten waarin een MBN-clausule is opgenomen.</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lang w:val="nl-BE"/>
        </w:rPr>
        <w:t>    In de 3e kolom is aangeduid in welk artikel van de overeenkomst of protocol de clausule is opgenomen.</w:t>
      </w:r>
    </w:p>
    <w:p w:rsidR="00A44B57" w:rsidRPr="00A44B57" w:rsidRDefault="00A44B57" w:rsidP="00A44B57">
      <w:pPr>
        <w:pStyle w:val="Normaalweb"/>
        <w:shd w:val="clear" w:color="auto" w:fill="FFFFFF"/>
        <w:rPr>
          <w:rFonts w:ascii="Titillium Web" w:hAnsi="Titillium Web"/>
          <w:color w:val="444444"/>
          <w:sz w:val="20"/>
          <w:szCs w:val="20"/>
          <w:lang w:val="nl-BE"/>
        </w:rPr>
      </w:pPr>
      <w:r w:rsidRPr="00A44B57">
        <w:rPr>
          <w:rFonts w:ascii="Titillium Web" w:hAnsi="Titillium Web"/>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A44B57" w:rsidRPr="00A44B57" w:rsidRDefault="00A44B57" w:rsidP="00A44B57">
      <w:pPr>
        <w:pStyle w:val="Normaalweb"/>
        <w:shd w:val="clear" w:color="auto" w:fill="FFFFFF"/>
        <w:spacing w:after="240" w:afterAutospacing="0"/>
        <w:jc w:val="center"/>
        <w:rPr>
          <w:rFonts w:ascii="Titillium Web" w:hAnsi="Titillium Web"/>
          <w:color w:val="444444"/>
          <w:sz w:val="20"/>
          <w:szCs w:val="20"/>
          <w:lang w:val="nl-BE"/>
        </w:rPr>
      </w:pPr>
      <w:r w:rsidRPr="00A44B57">
        <w:rPr>
          <w:rFonts w:ascii="Titillium Web" w:hAnsi="Titillium Web"/>
          <w:color w:val="444444"/>
          <w:sz w:val="20"/>
          <w:szCs w:val="20"/>
          <w:lang w:val="nl-BE"/>
        </w:rPr>
        <w:t>NAMENS DE MINISTER:</w:t>
      </w:r>
      <w:r w:rsidRPr="00A44B57">
        <w:rPr>
          <w:rFonts w:ascii="Titillium Web" w:hAnsi="Titillium Web"/>
          <w:color w:val="444444"/>
          <w:sz w:val="20"/>
          <w:szCs w:val="20"/>
          <w:lang w:val="nl-BE"/>
        </w:rPr>
        <w:br/>
        <w:t>De adjunct-administrateur-generaal,</w:t>
      </w:r>
    </w:p>
    <w:p w:rsidR="00A44B57" w:rsidRDefault="00A44B57" w:rsidP="00A44B57">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Paul NECKEBROECK</w:t>
      </w:r>
    </w:p>
    <w:p w:rsidR="00A44B57" w:rsidRDefault="00A44B57" w:rsidP="00A44B57">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 </w:t>
      </w:r>
    </w:p>
    <w:p w:rsidR="00A44B57" w:rsidRDefault="00A44B57" w:rsidP="00A44B57">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5</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rStyle w:val="Zwaar"/>
                <w:u w:val="single"/>
              </w:rPr>
              <w:t>Overeenkomst</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rStyle w:val="Zwaar"/>
                <w:u w:val="single"/>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rStyle w:val="Zwaar"/>
                <w:u w:val="single"/>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rStyle w:val="Zwaar"/>
                <w:u w:val="single"/>
              </w:rPr>
              <w:t>Uitwerking</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rStyle w:val="Zwaar"/>
                <w:u w:val="single"/>
              </w:rPr>
              <w:t>Circulaire</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A44B57" w:rsidRPr="00A44B57" w:rsidRDefault="00A44B57">
            <w:pPr>
              <w:rPr>
                <w:lang w:val="en-GB"/>
              </w:rPr>
            </w:pPr>
            <w:r>
              <w:rPr>
                <w:lang w:val="fr-FR"/>
              </w:rPr>
              <w:t>Protocol, nr. 2 (mbt.art. 13, § 3)</w:t>
            </w:r>
          </w:p>
          <w:p w:rsidR="00A44B57" w:rsidRDefault="00A44B57">
            <w:pPr>
              <w:pStyle w:val="Normaalweb"/>
            </w:pPr>
            <w:r>
              <w:t>Protocol, nr. 2 (mbt. art.14, § 1)</w:t>
            </w:r>
          </w:p>
          <w:p w:rsidR="00A44B57" w:rsidRDefault="00A44B57">
            <w:pPr>
              <w:pStyle w:val="Normaalweb"/>
            </w:pPr>
            <w:r>
              <w:lastRenderedPageBreak/>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lastRenderedPageBreak/>
              <w:t>Ja</w:t>
            </w:r>
          </w:p>
          <w:p w:rsidR="00A44B57" w:rsidRDefault="00A44B57">
            <w:pPr>
              <w:pStyle w:val="Normaalweb"/>
            </w:pPr>
            <w:r>
              <w:t>Neen</w:t>
            </w:r>
          </w:p>
          <w:p w:rsidR="00A44B57" w:rsidRDefault="00A44B57">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u w:val="single"/>
                <w:lang w:val="de-DE"/>
              </w:rPr>
              <w:t>AFZ/1996-0153 d.d.22.04.2008</w:t>
            </w:r>
          </w:p>
          <w:p w:rsidR="00A44B57" w:rsidRDefault="00A44B57">
            <w:pPr>
              <w:pStyle w:val="Normaalweb"/>
            </w:pPr>
            <w:r>
              <w:t>Idem</w:t>
            </w:r>
          </w:p>
          <w:p w:rsidR="00A44B57" w:rsidRDefault="00A44B57">
            <w:pPr>
              <w:pStyle w:val="Normaalweb"/>
            </w:pPr>
            <w:r>
              <w:t>Idem</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u w:val="single"/>
                <w:lang w:val="fr-FR"/>
              </w:rPr>
              <w:t>Circulaire Ci.R9.Bulgarije/401.452 d.d. 08.11.1993, punt IV, A, 3</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A44B57" w:rsidRPr="00A44B57" w:rsidRDefault="00A44B57">
            <w:pPr>
              <w:rPr>
                <w:lang w:val="en-GB"/>
              </w:rPr>
            </w:pPr>
            <w:r>
              <w:rPr>
                <w:lang w:val="fr-FR"/>
              </w:rPr>
              <w:t>Protocol, nr. 2 (mbt.art. 10)</w:t>
            </w:r>
          </w:p>
          <w:p w:rsidR="00A44B57" w:rsidRDefault="00A44B57">
            <w:pPr>
              <w:pStyle w:val="Normaalweb"/>
            </w:pPr>
            <w:r>
              <w:t>Protocol, nr. 2 (mbt. art.11)</w:t>
            </w:r>
          </w:p>
          <w:p w:rsidR="00A44B57" w:rsidRDefault="00A44B57">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Neen</w:t>
            </w:r>
          </w:p>
          <w:p w:rsidR="00A44B57" w:rsidRDefault="00A44B57">
            <w:pPr>
              <w:pStyle w:val="Normaalweb"/>
            </w:pPr>
            <w:r>
              <w:t>Neen</w:t>
            </w:r>
          </w:p>
          <w:p w:rsidR="00A44B57" w:rsidRDefault="00A44B57">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w:t>
            </w:r>
          </w:p>
          <w:p w:rsidR="00A44B57" w:rsidRDefault="00A44B57">
            <w:pPr>
              <w:pStyle w:val="Normaalweb"/>
            </w:pPr>
            <w:r>
              <w:t>--------</w:t>
            </w:r>
          </w:p>
          <w:p w:rsidR="00A44B57" w:rsidRDefault="00A44B57">
            <w:pPr>
              <w:pStyle w:val="Normaalweb"/>
            </w:pPr>
            <w: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u w:val="single"/>
                <w:lang w:val="fr-FR"/>
              </w:rPr>
              <w:t>AFZ/1997-0066 d.d.22.04.2008</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AFZ/2006-0837 d.d.22.04.2008</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t>16/07/1997</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t>Art. VI</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t>(2)</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t>01/10/1997</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t>Art. 7, § 3</w:t>
            </w:r>
          </w:p>
          <w:p w:rsidR="00A44B57" w:rsidRDefault="00A44B57">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t>Neen</w:t>
            </w:r>
          </w:p>
          <w:p w:rsidR="00A44B57" w:rsidRDefault="00A44B57">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u w:val="single"/>
                <w:lang w:val="fr-FR"/>
              </w:rPr>
              <w:t>Ci. nr.AFZ/INTERN.IB/INDIA d.d. 15/01/2001</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Ijsland</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t>Protocol, nr. 5, b)(mbt. art. 10, § 6)</w:t>
            </w:r>
          </w:p>
          <w:p w:rsidR="00A44B57" w:rsidRDefault="00A44B57">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Neen</w:t>
            </w:r>
          </w:p>
          <w:p w:rsidR="00A44B57" w:rsidRDefault="00A44B57">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w:t>
            </w:r>
          </w:p>
          <w:p w:rsidR="00A44B57" w:rsidRDefault="00A44B57">
            <w:pPr>
              <w:pStyle w:val="Normaalweb"/>
            </w:pPr>
            <w: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t>08/01/1991</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t>Art. 20, §3</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t>(4)</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lastRenderedPageBreak/>
              <w:t>Koeweit</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t>28/10/2000</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t>Art. 24, §6</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t>(5)</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t>07/05/2003</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u w:val="single"/>
                <w:lang w:val="fr-FR"/>
              </w:rPr>
              <w:t>AFZ/1996-0425 d.d.22.04.2008</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u w:val="single"/>
                <w:lang w:val="fr-FR"/>
              </w:rPr>
              <w:t>AFZ/1996-0398 d.d.22.04.2008</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Protocol, nr. 1 (mbt.art. 12)</w:t>
            </w:r>
          </w:p>
          <w:p w:rsidR="00A44B57" w:rsidRDefault="00A44B57">
            <w:pPr>
              <w:pStyle w:val="Normaalweb"/>
            </w:pPr>
            <w:r>
              <w:t>Protocol, nr. 2 (mbt. art.23)</w:t>
            </w:r>
          </w:p>
          <w:p w:rsidR="00A44B57" w:rsidRDefault="00A44B57">
            <w:pPr>
              <w:pStyle w:val="Normaalweb"/>
            </w:pPr>
            <w:r>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Ja</w:t>
            </w:r>
          </w:p>
          <w:p w:rsidR="00A44B57" w:rsidRDefault="00A44B57">
            <w:pPr>
              <w:pStyle w:val="Normaalweb"/>
            </w:pPr>
            <w:r>
              <w:t>Neen</w:t>
            </w:r>
          </w:p>
          <w:p w:rsidR="00A44B57" w:rsidRDefault="00A44B57">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AFZ/1996-0201(7)</w:t>
            </w:r>
          </w:p>
          <w:p w:rsidR="00A44B57" w:rsidRDefault="00A44B57">
            <w:pPr>
              <w:pStyle w:val="Normaalweb"/>
            </w:pPr>
            <w:r>
              <w:t>Idem</w:t>
            </w:r>
          </w:p>
          <w:p w:rsidR="00A44B57" w:rsidRDefault="00A44B57">
            <w:pPr>
              <w:pStyle w:val="Normaalweb"/>
            </w:pPr>
            <w:r>
              <w:t>Idem</w:t>
            </w:r>
          </w:p>
        </w:tc>
      </w:tr>
      <w:tr w:rsidR="00A44B57" w:rsidTr="00A44B57">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A44B57" w:rsidRDefault="00A44B57">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A44B57" w:rsidRDefault="00A44B57">
            <w:r>
              <w:rPr>
                <w:lang w:val="fr-FR"/>
              </w:rPr>
              <w:t>--------</w:t>
            </w:r>
          </w:p>
        </w:tc>
      </w:tr>
    </w:tbl>
    <w:p w:rsidR="00A44B57" w:rsidRDefault="00A44B57" w:rsidP="00A44B57">
      <w:pPr>
        <w:pStyle w:val="Normaalweb"/>
        <w:shd w:val="clear" w:color="auto" w:fill="FFFFFF"/>
        <w:rPr>
          <w:rFonts w:ascii="Titillium Web" w:hAnsi="Titillium Web"/>
          <w:color w:val="444444"/>
          <w:sz w:val="20"/>
          <w:szCs w:val="20"/>
        </w:rPr>
      </w:pPr>
      <w:r>
        <w:rPr>
          <w:rFonts w:ascii="Titillium Web" w:hAnsi="Titillium Web"/>
          <w:color w:val="444444"/>
          <w:sz w:val="20"/>
          <w:szCs w:val="20"/>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Pr>
          <w:rFonts w:ascii="Titillium Web" w:hAnsi="Titillium Web"/>
          <w:color w:val="444444"/>
          <w:sz w:val="20"/>
          <w:szCs w:val="20"/>
          <w:vertAlign w:val="superscript"/>
        </w:rPr>
        <w:t>e</w:t>
      </w:r>
      <w:r>
        <w:rPr>
          <w:rFonts w:ascii="Titillium Web" w:hAnsi="Titillium Web"/>
          <w:color w:val="444444"/>
          <w:sz w:val="20"/>
          <w:szCs w:val="20"/>
        </w:rPr>
        <w:t> lid, 1° WIB 1992,van toepassing vanaf aj. 1996 (Art. 4 Wet 30.01.1996; B.S.30.03.1996).</w:t>
      </w:r>
    </w:p>
    <w:p w:rsidR="00A44B57" w:rsidRDefault="00A44B57" w:rsidP="00A44B57">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(2) Ten gevolge van het arrest </w:t>
      </w:r>
      <w:r>
        <w:rPr>
          <w:rStyle w:val="Nadruk"/>
          <w:rFonts w:ascii="Titillium Web" w:hAnsi="Titillium Web"/>
          <w:color w:val="444444"/>
          <w:sz w:val="20"/>
          <w:szCs w:val="20"/>
        </w:rPr>
        <w:t>Petri Manninen</w:t>
      </w:r>
      <w:r>
        <w:rPr>
          <w:rFonts w:ascii="Titillium Web" w:hAnsi="Titillium Web"/>
          <w:color w:val="444444"/>
          <w:sz w:val="20"/>
          <w:szCs w:val="20"/>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A44B57" w:rsidRDefault="00A44B57" w:rsidP="00A44B57">
      <w:pPr>
        <w:pStyle w:val="Normaalweb"/>
        <w:shd w:val="clear" w:color="auto" w:fill="FFFFFF"/>
        <w:rPr>
          <w:rFonts w:ascii="Titillium Web" w:hAnsi="Titillium Web"/>
          <w:color w:val="444444"/>
          <w:sz w:val="20"/>
          <w:szCs w:val="20"/>
        </w:rPr>
      </w:pPr>
      <w:r>
        <w:rPr>
          <w:rFonts w:ascii="Titillium Web" w:hAnsi="Titillium Web"/>
          <w:color w:val="444444"/>
          <w:sz w:val="20"/>
          <w:szCs w:val="20"/>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Pr>
          <w:rFonts w:ascii="Titillium Web" w:hAnsi="Titillium Web"/>
          <w:color w:val="444444"/>
          <w:sz w:val="20"/>
          <w:szCs w:val="20"/>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A44B57" w:rsidRDefault="00A44B57" w:rsidP="00A44B57">
      <w:pPr>
        <w:pStyle w:val="Normaalweb"/>
        <w:shd w:val="clear" w:color="auto" w:fill="FFFFFF"/>
        <w:rPr>
          <w:rFonts w:ascii="Titillium Web" w:hAnsi="Titillium Web"/>
          <w:color w:val="444444"/>
          <w:sz w:val="20"/>
          <w:szCs w:val="20"/>
        </w:rPr>
      </w:pPr>
      <w:r>
        <w:rPr>
          <w:rFonts w:ascii="Titillium Web" w:hAnsi="Titillium Web"/>
          <w:color w:val="444444"/>
          <w:sz w:val="20"/>
          <w:szCs w:val="20"/>
        </w:rPr>
        <w:t>    (4) De MBN-clausule waarnaar wordt verwezen is terug te vinden in de Overeenkomst die België heeft afgesloten met de ex-USSR die tot nader order voorlopig van toepassing is. </w:t>
      </w:r>
      <w:r>
        <w:rPr>
          <w:rFonts w:ascii="Titillium Web" w:hAnsi="Titillium Web"/>
          <w:color w:val="444444"/>
          <w:sz w:val="20"/>
          <w:szCs w:val="20"/>
          <w:lang w:val="fr-BE"/>
        </w:rPr>
        <w:t>Het betreft een negatieve MBN-clausule.</w:t>
      </w:r>
    </w:p>
    <w:p w:rsidR="00A44B57" w:rsidRDefault="00A44B57" w:rsidP="00A44B57">
      <w:pPr>
        <w:pStyle w:val="Normaalweb"/>
        <w:shd w:val="clear" w:color="auto" w:fill="FFFFFF"/>
        <w:rPr>
          <w:rFonts w:ascii="Titillium Web" w:hAnsi="Titillium Web"/>
          <w:color w:val="444444"/>
          <w:sz w:val="20"/>
          <w:szCs w:val="20"/>
        </w:rPr>
      </w:pPr>
      <w:r>
        <w:rPr>
          <w:rFonts w:ascii="Titillium Web" w:hAnsi="Titillium Web"/>
          <w:color w:val="444444"/>
          <w:sz w:val="20"/>
          <w:szCs w:val="20"/>
        </w:rPr>
        <w:t>    (5) Het betreft een negatieve MBN-clausule.</w:t>
      </w:r>
    </w:p>
    <w:p w:rsidR="00A44B57" w:rsidRDefault="00A44B57" w:rsidP="00A44B57">
      <w:pPr>
        <w:pStyle w:val="Normaalweb"/>
        <w:shd w:val="clear" w:color="auto" w:fill="FFFFFF"/>
        <w:rPr>
          <w:rFonts w:ascii="Titillium Web" w:hAnsi="Titillium Web"/>
          <w:color w:val="444444"/>
          <w:sz w:val="20"/>
          <w:szCs w:val="20"/>
        </w:rPr>
      </w:pPr>
      <w:r>
        <w:rPr>
          <w:rFonts w:ascii="Titillium Web" w:hAnsi="Titillium Web"/>
          <w:color w:val="444444"/>
          <w:sz w:val="20"/>
          <w:szCs w:val="20"/>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A44B57" w:rsidRDefault="00A44B57" w:rsidP="00A44B57">
      <w:pPr>
        <w:pStyle w:val="Normaalweb"/>
        <w:shd w:val="clear" w:color="auto" w:fill="FFFFFF"/>
        <w:rPr>
          <w:rFonts w:ascii="Titillium Web" w:hAnsi="Titillium Web"/>
          <w:color w:val="444444"/>
          <w:sz w:val="20"/>
          <w:szCs w:val="20"/>
        </w:rPr>
      </w:pPr>
      <w:r>
        <w:rPr>
          <w:rFonts w:ascii="Titillium Web" w:hAnsi="Titillium Web"/>
          <w:color w:val="444444"/>
          <w:sz w:val="20"/>
          <w:szCs w:val="20"/>
        </w:rPr>
        <w:t>    (7) Deze circulaire zal binnenkort worden gepubliceerd.</w:t>
      </w:r>
    </w:p>
    <w:p w:rsidR="00A44B57" w:rsidRDefault="00A44B57" w:rsidP="00A44B57">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B422A3" w:rsidRPr="00A44B57" w:rsidRDefault="00B422A3" w:rsidP="00A44B57">
      <w:bookmarkStart w:id="0" w:name="_GoBack"/>
      <w:bookmarkEnd w:id="0"/>
    </w:p>
    <w:sectPr w:rsidR="00B422A3" w:rsidRPr="00A44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D6F2A"/>
    <w:rsid w:val="002F7C63"/>
    <w:rsid w:val="00305853"/>
    <w:rsid w:val="00314004"/>
    <w:rsid w:val="003679F8"/>
    <w:rsid w:val="003C1A9A"/>
    <w:rsid w:val="00400021"/>
    <w:rsid w:val="00456DB4"/>
    <w:rsid w:val="004925D7"/>
    <w:rsid w:val="004B5A77"/>
    <w:rsid w:val="004C251B"/>
    <w:rsid w:val="005065C6"/>
    <w:rsid w:val="00536240"/>
    <w:rsid w:val="00557E60"/>
    <w:rsid w:val="00575A9D"/>
    <w:rsid w:val="005D5390"/>
    <w:rsid w:val="006206B0"/>
    <w:rsid w:val="006451C8"/>
    <w:rsid w:val="006533C4"/>
    <w:rsid w:val="00687173"/>
    <w:rsid w:val="006A2EED"/>
    <w:rsid w:val="006F4797"/>
    <w:rsid w:val="00707A00"/>
    <w:rsid w:val="00744167"/>
    <w:rsid w:val="007E5AD1"/>
    <w:rsid w:val="00847C91"/>
    <w:rsid w:val="00882974"/>
    <w:rsid w:val="008966EB"/>
    <w:rsid w:val="008A079A"/>
    <w:rsid w:val="008B1D8B"/>
    <w:rsid w:val="008E1BC6"/>
    <w:rsid w:val="008E22A8"/>
    <w:rsid w:val="00951E6F"/>
    <w:rsid w:val="009B6F03"/>
    <w:rsid w:val="00A237A1"/>
    <w:rsid w:val="00A35916"/>
    <w:rsid w:val="00A403C7"/>
    <w:rsid w:val="00A44B57"/>
    <w:rsid w:val="00B22AB6"/>
    <w:rsid w:val="00B422A3"/>
    <w:rsid w:val="00BA6EF2"/>
    <w:rsid w:val="00BB775C"/>
    <w:rsid w:val="00BE4EC5"/>
    <w:rsid w:val="00CD239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8441</Characters>
  <Application>Microsoft Office Word</Application>
  <DocSecurity>0</DocSecurity>
  <Lines>337</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2019-05-23T15:51:00Z</dcterms:created>
  <dcterms:modified xsi:type="dcterms:W3CDTF">2019-05-23T15:51:00Z</dcterms:modified>
</cp:coreProperties>
</file>