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A83" w:rsidRPr="006C3A83" w:rsidRDefault="006C3A83" w:rsidP="006C3A83">
      <w:pPr>
        <w:shd w:val="clear" w:color="auto" w:fill="FFFFFF"/>
        <w:spacing w:before="100" w:beforeAutospacing="1" w:after="100" w:afterAutospacing="1" w:line="240" w:lineRule="auto"/>
        <w:outlineLvl w:val="0"/>
        <w:rPr>
          <w:rFonts w:ascii="Titillium Web" w:eastAsia="Times New Roman" w:hAnsi="Titillium Web" w:cs="Times New Roman"/>
          <w:color w:val="777777"/>
          <w:kern w:val="36"/>
          <w:sz w:val="55"/>
          <w:szCs w:val="55"/>
          <w:lang w:eastAsia="en-GB"/>
        </w:rPr>
      </w:pPr>
      <w:r w:rsidRPr="006C3A83">
        <w:rPr>
          <w:rFonts w:ascii="Titillium Web" w:eastAsia="Times New Roman" w:hAnsi="Titillium Web" w:cs="Times New Roman"/>
          <w:color w:val="777777"/>
          <w:kern w:val="36"/>
          <w:sz w:val="55"/>
          <w:szCs w:val="55"/>
          <w:lang w:eastAsia="en-GB"/>
        </w:rPr>
        <w:t>Circulaire Nr. AFZ/2003-0343-6 (AFZ 6/2008) dd. 12.03.2008</w:t>
      </w:r>
    </w:p>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tillium Web" w:eastAsia="Times New Roman" w:hAnsi="Titillium Web" w:cs="Times New Roman"/>
          <w:color w:val="444444"/>
          <w:sz w:val="20"/>
          <w:szCs w:val="20"/>
          <w:lang w:eastAsia="en-GB"/>
        </w:rPr>
        <w:br/>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bookmarkStart w:id="0" w:name="422d713e-f8e8-4df9-864c-e0e025203823"/>
      <w:r w:rsidRPr="006C3A83">
        <w:rPr>
          <w:rFonts w:ascii="Titillium Web" w:eastAsia="Times New Roman" w:hAnsi="Titillium Web" w:cs="Times New Roman"/>
          <w:b/>
          <w:bCs/>
          <w:color w:val="0072C6"/>
          <w:sz w:val="20"/>
          <w:szCs w:val="20"/>
          <w:lang w:eastAsia="en-GB"/>
        </w:rPr>
        <w:t>CIRC 12.03.08/3</w:t>
      </w:r>
      <w:bookmarkEnd w:id="0"/>
      <w:r w:rsidRPr="006C3A83">
        <w:rPr>
          <w:rFonts w:ascii="Titillium Web" w:eastAsia="Times New Roman" w:hAnsi="Titillium Web" w:cs="Times New Roman"/>
          <w:color w:val="444444"/>
          <w:sz w:val="20"/>
          <w:szCs w:val="20"/>
          <w:lang w:eastAsia="en-GB"/>
        </w:rPr>
        <w:t>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b/>
          <w:bCs/>
          <w:color w:val="444444"/>
          <w:sz w:val="20"/>
          <w:szCs w:val="20"/>
          <w:lang w:eastAsia="en-GB"/>
        </w:rPr>
        <w:t>Circulaire Nr. AFZ/2003-0343-6 (AFZ 6/2008) dd. 12.03.2008</w:t>
      </w:r>
      <w:r w:rsidRPr="006C3A83">
        <w:rPr>
          <w:rFonts w:ascii="Titillium Web" w:eastAsia="Times New Roman" w:hAnsi="Titillium Web" w:cs="Times New Roman"/>
          <w:b/>
          <w:bCs/>
          <w:color w:val="444444"/>
          <w:sz w:val="20"/>
          <w:szCs w:val="20"/>
          <w:lang w:eastAsia="en-GB"/>
        </w:rPr>
        <w:br/>
      </w:r>
    </w:p>
    <w:p w:rsidR="006C3A83" w:rsidRPr="006C3A83" w:rsidRDefault="006C3A83" w:rsidP="006C3A83">
      <w:pPr>
        <w:shd w:val="clear" w:color="auto" w:fill="FFFFFF"/>
        <w:spacing w:after="240" w:line="240" w:lineRule="auto"/>
        <w:rPr>
          <w:rFonts w:ascii="Titillium Web" w:eastAsia="Times New Roman" w:hAnsi="Titillium Web" w:cs="Times New Roman"/>
          <w:b/>
          <w:bCs/>
          <w:color w:val="444444"/>
          <w:sz w:val="20"/>
          <w:szCs w:val="20"/>
          <w:lang w:eastAsia="en-GB"/>
        </w:rPr>
      </w:pPr>
      <w:r w:rsidRPr="006C3A83">
        <w:rPr>
          <w:rFonts w:ascii="Titillium Web" w:eastAsia="Times New Roman" w:hAnsi="Titillium Web" w:cs="Times New Roman"/>
          <w:i/>
          <w:iCs/>
          <w:color w:val="444444"/>
          <w:sz w:val="20"/>
          <w:szCs w:val="20"/>
          <w:lang w:eastAsia="en-GB"/>
        </w:rPr>
        <w:t>DUBBELBELASTINGVERDRAG</w:t>
      </w:r>
      <w:r w:rsidRPr="006C3A83">
        <w:rPr>
          <w:rFonts w:ascii="Titillium Web" w:eastAsia="Times New Roman" w:hAnsi="Titillium Web" w:cs="Times New Roman"/>
          <w:i/>
          <w:iCs/>
          <w:color w:val="444444"/>
          <w:sz w:val="20"/>
          <w:szCs w:val="20"/>
          <w:lang w:eastAsia="en-GB"/>
        </w:rPr>
        <w:br/>
        <w:t>   Taiwan</w:t>
      </w:r>
      <w:r w:rsidRPr="006C3A83">
        <w:rPr>
          <w:rFonts w:ascii="Titillium Web" w:eastAsia="Times New Roman" w:hAnsi="Titillium Web" w:cs="Times New Roman"/>
          <w:color w:val="444444"/>
          <w:sz w:val="20"/>
          <w:szCs w:val="20"/>
          <w:lang w:eastAsia="en-GB"/>
        </w:rPr>
        <w:t>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i/>
          <w:iCs/>
          <w:color w:val="444444"/>
          <w:sz w:val="20"/>
          <w:szCs w:val="20"/>
          <w:lang w:eastAsia="en-GB"/>
        </w:rPr>
        <w:t>Onderrichtingen betreffende de toepassing van het Akkoord tussen de Belgian Office, Taipei en de Taipei Representative Office in Belgium tot het vermijden van dubbele belasting en tot het voorkomen van het ontgaan van belasting inzake belastingen naar het inkomen, en van het Protocol, ondertekend te Brussel op 13 oktober</w:t>
      </w:r>
      <w:r w:rsidRPr="006C3A83">
        <w:rPr>
          <w:rFonts w:ascii="Titillium Web" w:eastAsia="Times New Roman" w:hAnsi="Titillium Web" w:cs="Times New Roman"/>
          <w:color w:val="444444"/>
          <w:sz w:val="20"/>
          <w:szCs w:val="20"/>
          <w:lang w:eastAsia="en-GB"/>
        </w:rPr>
        <w:t> </w:t>
      </w:r>
    </w:p>
    <w:p w:rsidR="006C3A83" w:rsidRPr="006C3A83" w:rsidRDefault="006C3A83" w:rsidP="006C3A83">
      <w:pPr>
        <w:shd w:val="clear" w:color="auto" w:fill="FFFFFF"/>
        <w:spacing w:after="0" w:line="240" w:lineRule="auto"/>
        <w:rPr>
          <w:rFonts w:ascii="Titillium Web" w:eastAsia="Times New Roman" w:hAnsi="Titillium Web" w:cs="Times New Roman"/>
          <w:b/>
          <w:bCs/>
          <w:color w:val="444444"/>
          <w:sz w:val="20"/>
          <w:szCs w:val="20"/>
          <w:lang w:eastAsia="en-GB"/>
        </w:rPr>
      </w:pPr>
      <w:r w:rsidRPr="006C3A83">
        <w:rPr>
          <w:rFonts w:ascii="Titillium Web" w:eastAsia="Times New Roman" w:hAnsi="Titillium Web" w:cs="Times New Roman"/>
          <w:color w:val="444444"/>
          <w:sz w:val="20"/>
          <w:szCs w:val="20"/>
          <w:u w:val="single"/>
          <w:lang w:eastAsia="en-GB"/>
        </w:rPr>
        <w:t>Aan alle ambtenaren van niveau A en B van de Administratie van fiscale zaken, van de Administratie van de ondernemings- en inkomensfiscaliteit (sector directe belastingen), van de Administratie van de invordering (sector directe belastingen) en van de Administratie van de bijzondere belastinginspectie.</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b/>
          <w:bCs/>
          <w:color w:val="444444"/>
          <w:sz w:val="20"/>
          <w:szCs w:val="20"/>
          <w:lang w:eastAsia="en-GB"/>
        </w:rPr>
        <w:t>I. BELANGRIJKE DATA</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u w:val="single"/>
          <w:lang w:eastAsia="en-GB"/>
        </w:rPr>
      </w:pPr>
      <w:r w:rsidRPr="006C3A83">
        <w:rPr>
          <w:rFonts w:ascii="Titillium Web" w:eastAsia="Times New Roman" w:hAnsi="Titillium Web" w:cs="Times New Roman"/>
          <w:color w:val="444444"/>
          <w:sz w:val="20"/>
          <w:szCs w:val="20"/>
          <w:lang w:eastAsia="en-GB"/>
        </w:rPr>
        <w:t>Ondertekening van het Akkoord : 13 oktober 2004 </w:t>
      </w:r>
      <w:r w:rsidRPr="006C3A83">
        <w:rPr>
          <w:rFonts w:ascii="Titillium Web" w:eastAsia="Times New Roman" w:hAnsi="Titillium Web" w:cs="Times New Roman"/>
          <w:color w:val="444444"/>
          <w:sz w:val="20"/>
          <w:szCs w:val="20"/>
          <w:lang w:eastAsia="en-GB"/>
        </w:rPr>
        <w:br/>
        <w:t>Toepassing : Wet van 3 december 2005 </w:t>
      </w:r>
      <w:r w:rsidRPr="006C3A83">
        <w:rPr>
          <w:rFonts w:ascii="Titillium Web" w:eastAsia="Times New Roman" w:hAnsi="Titillium Web" w:cs="Times New Roman"/>
          <w:color w:val="444444"/>
          <w:sz w:val="20"/>
          <w:szCs w:val="20"/>
          <w:lang w:eastAsia="en-GB"/>
        </w:rPr>
        <w:br/>
        <w:t>Inwerkingtreding : 14 december 2005 </w:t>
      </w:r>
      <w:r w:rsidRPr="006C3A83">
        <w:rPr>
          <w:rFonts w:ascii="Titillium Web" w:eastAsia="Times New Roman" w:hAnsi="Titillium Web" w:cs="Times New Roman"/>
          <w:color w:val="444444"/>
          <w:sz w:val="20"/>
          <w:szCs w:val="20"/>
          <w:lang w:eastAsia="en-GB"/>
        </w:rPr>
        <w:br/>
        <w:t>Belgisch Staatsblad : 23 december 2005 </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val="en-GB" w:eastAsia="en-GB"/>
        </w:rPr>
      </w:pPr>
      <w:r w:rsidRPr="006C3A83">
        <w:rPr>
          <w:rFonts w:ascii="Titillium Web" w:eastAsia="Times New Roman" w:hAnsi="Titillium Web" w:cs="Times New Roman"/>
          <w:color w:val="444444"/>
          <w:sz w:val="20"/>
          <w:szCs w:val="20"/>
          <w:u w:val="single"/>
          <w:lang w:val="en-GB" w:eastAsia="en-GB"/>
        </w:rPr>
        <w:t>Toepassing in België</w:t>
      </w:r>
    </w:p>
    <w:p w:rsidR="006C3A83" w:rsidRPr="006C3A83" w:rsidRDefault="006C3A83" w:rsidP="006C3A83">
      <w:pPr>
        <w:numPr>
          <w:ilvl w:val="0"/>
          <w:numId w:val="13"/>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op de </w:t>
      </w:r>
      <w:r w:rsidRPr="006C3A83">
        <w:rPr>
          <w:rFonts w:ascii="Titillium Web" w:eastAsia="Times New Roman" w:hAnsi="Titillium Web" w:cs="Times New Roman"/>
          <w:color w:val="444444"/>
          <w:sz w:val="20"/>
          <w:szCs w:val="20"/>
          <w:u w:val="single"/>
          <w:lang w:eastAsia="en-GB"/>
        </w:rPr>
        <w:t>bij de bron verschuldigde belastingen</w:t>
      </w:r>
      <w:r w:rsidRPr="006C3A83">
        <w:rPr>
          <w:rFonts w:ascii="Titillium Web" w:eastAsia="Times New Roman" w:hAnsi="Titillium Web" w:cs="Times New Roman"/>
          <w:color w:val="444444"/>
          <w:sz w:val="20"/>
          <w:szCs w:val="20"/>
          <w:lang w:eastAsia="en-GB"/>
        </w:rPr>
        <w:t> op inkomsten toegekend of betaalbaar gesteld op of na 1 januari 2006.</w:t>
      </w:r>
    </w:p>
    <w:p w:rsidR="006C3A83" w:rsidRPr="006C3A83" w:rsidRDefault="006C3A83" w:rsidP="006C3A83">
      <w:pPr>
        <w:numPr>
          <w:ilvl w:val="0"/>
          <w:numId w:val="13"/>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op de </w:t>
      </w:r>
      <w:r w:rsidRPr="006C3A83">
        <w:rPr>
          <w:rFonts w:ascii="Titillium Web" w:eastAsia="Times New Roman" w:hAnsi="Titillium Web" w:cs="Times New Roman"/>
          <w:color w:val="444444"/>
          <w:sz w:val="20"/>
          <w:szCs w:val="20"/>
          <w:u w:val="single"/>
          <w:lang w:eastAsia="en-GB"/>
        </w:rPr>
        <w:t>andere</w:t>
      </w:r>
      <w:r w:rsidRPr="006C3A83">
        <w:rPr>
          <w:rFonts w:ascii="Titillium Web" w:eastAsia="Times New Roman" w:hAnsi="Titillium Web" w:cs="Times New Roman"/>
          <w:color w:val="444444"/>
          <w:sz w:val="20"/>
          <w:szCs w:val="20"/>
          <w:lang w:eastAsia="en-GB"/>
        </w:rPr>
        <w:t> belastingen op inkomsten van elke belastbaar tijdperk dat aanvangt op of na 1 januari 2006.</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b/>
          <w:bCs/>
          <w:color w:val="444444"/>
          <w:sz w:val="20"/>
          <w:szCs w:val="20"/>
          <w:lang w:eastAsia="en-GB"/>
        </w:rPr>
        <w:t>II. BIJZONDERE JURDIDISCHE CONTEXT</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Alhoewel het hierboven vermelde belastingakkoord tussen de Belgian Office, Taipei (vertegenwoordiging van België in Taiwan) en de Taipei Representative Office in Belgium (vertegenwoordiging van Taiwan in België) qua vorm en inhoud heel sterk gelijkt op overeenkomsten tot het vermijden van dubbele belasting die België heeft gesloten met andere Staten, is dit Akkoord ingevolge het gebrek aan diplomatieke erkenning van Taiwan door België geen internationale overeenkomst in de klassieke betekenis.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Het betreft in dit geval geen overeenkomst gesloten tussen twee internationaal erkende staten doch wel een akkoord gesloten tussen twee vertegenwoordigingen met een bijzondere bevoegdheid op het vlak van de bevordering van handelsrelaties, investeringen en culturele uitwisselingen tussen België en Taiwan, zijnde langs Belgische zijde, de "Belgian Office, Taipei", en langs Taiwanese zijde, de "Taipei Representative Office in Belgium". Deze particulariteit zorgt voor een aantal bijzonderheden in het Akkoord. Zo wordt in het Akkoord bijvoorbeeld niet verwezen naar een "Staat" doch wel naar een "grondgebied" waarbinnen het Akkoord toepassing vindt. </w:t>
      </w:r>
    </w:p>
    <w:p w:rsidR="006C3A83" w:rsidRPr="006C3A83" w:rsidRDefault="006C3A83" w:rsidP="006C3A83">
      <w:pPr>
        <w:shd w:val="clear" w:color="auto" w:fill="FFFFFF"/>
        <w:spacing w:after="240" w:line="240" w:lineRule="auto"/>
        <w:rPr>
          <w:rFonts w:ascii="Titillium Web" w:eastAsia="Times New Roman" w:hAnsi="Titillium Web" w:cs="Times New Roman"/>
          <w:b/>
          <w:bCs/>
          <w:color w:val="444444"/>
          <w:sz w:val="20"/>
          <w:szCs w:val="20"/>
          <w:lang w:eastAsia="en-GB"/>
        </w:rPr>
      </w:pPr>
      <w:r w:rsidRPr="006C3A83">
        <w:rPr>
          <w:rFonts w:ascii="Titillium Web" w:eastAsia="Times New Roman" w:hAnsi="Titillium Web" w:cs="Times New Roman"/>
          <w:color w:val="444444"/>
          <w:sz w:val="20"/>
          <w:szCs w:val="20"/>
          <w:lang w:eastAsia="en-GB"/>
        </w:rPr>
        <w:t>    "Klassieke" internationale overeenkomsten worden met een goedkeuringswet in België ingevoerd en primeren boven de interne (fiscale) wetgeving. Aangezien dit Akkoord geen klassieke internationale overeenkomst betreft werd het in de Belgische rechtsorde geïntroduceerd door een gewone fiscale wet. Deze fiscale wet regelt echter een specifieke aangelegenheid en vindt daardoor bij voorrang toepassing op de algemene fiscale wetten. </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b/>
          <w:bCs/>
          <w:color w:val="444444"/>
          <w:sz w:val="20"/>
          <w:szCs w:val="20"/>
          <w:lang w:eastAsia="en-GB"/>
        </w:rPr>
        <w:lastRenderedPageBreak/>
        <w:t>III ALGEMENE KENMERKEN</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Een van de voornaamste objectieven van het Akkoord is dubbele belasting te vermijden terzake van - bestaande en toekomstige - belastingen naar het inkomen (met inbegrip van de meerwaarden) en naar het vermogen die voor rekening van elk grondgebied of van de gedecentraliseerde machten daarvan worden geheven.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Het Akkoord heeft tevens als belangrijk objectief het voorkomen van het ontgaan van belasting. In dit opzicht organiseert het Akkoord, volgens de gebruikelijke regels en met de gewone beperkingen, tussen de bevoegde autoriteiten van de beide grondgebieden de uitwisseling van inlichtingen die nodig zijn voor de juiste toepassing van de bepalingen van het Akkoord of van de interne wetgeving van de beide grondgebieden (cf. artikel 25 van het Akkoord). Daarbij dient opgemerkt dat de uitwisseling van inlichtingen inwoners van derde Staten kan betreffen. Voor de toepassing van de bepalingen van artikel 25 wordt verwezen naar de instructie Ci.R9.Div/460.792 van 27.11.1996 en naar de bijlage bij de instructie AOIF nr. 20/2006 van 19.04.2006.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Het Akkoord voorziet slechts in een beperkte administratieve bijstand op het vlak van de invordering (artikel 26). </w:t>
      </w:r>
    </w:p>
    <w:p w:rsidR="006C3A83" w:rsidRPr="006C3A83" w:rsidRDefault="006C3A83" w:rsidP="006C3A83">
      <w:pPr>
        <w:shd w:val="clear" w:color="auto" w:fill="FFFFFF"/>
        <w:spacing w:after="240" w:line="240" w:lineRule="auto"/>
        <w:rPr>
          <w:rFonts w:ascii="Titillium Web" w:eastAsia="Times New Roman" w:hAnsi="Titillium Web" w:cs="Times New Roman"/>
          <w:b/>
          <w:bCs/>
          <w:color w:val="444444"/>
          <w:sz w:val="20"/>
          <w:szCs w:val="20"/>
          <w:lang w:eastAsia="en-GB"/>
        </w:rPr>
      </w:pPr>
      <w:r w:rsidRPr="006C3A83">
        <w:rPr>
          <w:rFonts w:ascii="Titillium Web" w:eastAsia="Times New Roman" w:hAnsi="Titillium Web" w:cs="Times New Roman"/>
          <w:color w:val="444444"/>
          <w:sz w:val="20"/>
          <w:szCs w:val="20"/>
          <w:lang w:eastAsia="en-GB"/>
        </w:rPr>
        <w:t>    Voor het overige vertoont het Akkoord een grote gelijkenis met de voorheen door België gesloten klassieke overeenkomsten tot het vermijden van dubbele belasting. Bijgevolg worden alleen de voornaamste of specifieke bepalingen ervan hierna besproken </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b/>
          <w:bCs/>
          <w:color w:val="444444"/>
          <w:sz w:val="20"/>
          <w:szCs w:val="20"/>
          <w:lang w:eastAsia="en-GB"/>
        </w:rPr>
        <w:t>IV. WERKINGSSFEER EN DEFINITIES</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1. </w:t>
      </w:r>
      <w:r w:rsidRPr="006C3A83">
        <w:rPr>
          <w:rFonts w:ascii="Titillium Web" w:eastAsia="Times New Roman" w:hAnsi="Titillium Web" w:cs="Times New Roman"/>
          <w:color w:val="444444"/>
          <w:sz w:val="20"/>
          <w:szCs w:val="20"/>
          <w:u w:val="single"/>
          <w:lang w:eastAsia="en-GB"/>
        </w:rPr>
        <w:t>Personen en grondgebied waarop het Akkoord van toepassing is (artikel 1)</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Het akkoord is van toepassing op personen die </w:t>
      </w:r>
      <w:r w:rsidRPr="006C3A83">
        <w:rPr>
          <w:rFonts w:ascii="Titillium Web" w:eastAsia="Times New Roman" w:hAnsi="Titillium Web" w:cs="Times New Roman"/>
          <w:b/>
          <w:bCs/>
          <w:color w:val="444444"/>
          <w:sz w:val="20"/>
          <w:szCs w:val="20"/>
          <w:lang w:eastAsia="en-GB"/>
        </w:rPr>
        <w:t>inwoner</w:t>
      </w:r>
      <w:r w:rsidRPr="006C3A83">
        <w:rPr>
          <w:rFonts w:ascii="Titillium Web" w:eastAsia="Times New Roman" w:hAnsi="Titillium Web" w:cs="Times New Roman"/>
          <w:color w:val="444444"/>
          <w:sz w:val="20"/>
          <w:szCs w:val="20"/>
          <w:lang w:eastAsia="en-GB"/>
        </w:rPr>
        <w:t> zijn van een </w:t>
      </w:r>
      <w:r w:rsidRPr="006C3A83">
        <w:rPr>
          <w:rFonts w:ascii="Titillium Web" w:eastAsia="Times New Roman" w:hAnsi="Titillium Web" w:cs="Times New Roman"/>
          <w:b/>
          <w:bCs/>
          <w:color w:val="444444"/>
          <w:sz w:val="20"/>
          <w:szCs w:val="20"/>
          <w:lang w:eastAsia="en-GB"/>
        </w:rPr>
        <w:t>grondgebied</w:t>
      </w:r>
      <w:r w:rsidRPr="006C3A83">
        <w:rPr>
          <w:rFonts w:ascii="Titillium Web" w:eastAsia="Times New Roman" w:hAnsi="Titillium Web" w:cs="Times New Roman"/>
          <w:color w:val="444444"/>
          <w:sz w:val="20"/>
          <w:szCs w:val="20"/>
          <w:lang w:eastAsia="en-GB"/>
        </w:rPr>
        <w:t> of van beide grondgebieden (artikel 1).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In de aanduiding van de personele werkingssfeer van het Akkoord wordt niet verwezen naar het begrip inwoner van een "overeenkomstsluitende Staat" doch wel naar het begrip inwoner van een "grondgebied"; dit is een gevolg van de niet officiële erkenning van de Staat Taiwan door België.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In het geval van </w:t>
      </w:r>
      <w:r w:rsidRPr="006C3A83">
        <w:rPr>
          <w:rFonts w:ascii="Titillium Web" w:eastAsia="Times New Roman" w:hAnsi="Titillium Web" w:cs="Times New Roman"/>
          <w:color w:val="444444"/>
          <w:sz w:val="20"/>
          <w:szCs w:val="20"/>
          <w:u w:val="single"/>
          <w:lang w:eastAsia="en-GB"/>
        </w:rPr>
        <w:t>België</w:t>
      </w:r>
      <w:r w:rsidRPr="006C3A83">
        <w:rPr>
          <w:rFonts w:ascii="Titillium Web" w:eastAsia="Times New Roman" w:hAnsi="Titillium Web" w:cs="Times New Roman"/>
          <w:color w:val="444444"/>
          <w:sz w:val="20"/>
          <w:szCs w:val="20"/>
          <w:lang w:eastAsia="en-GB"/>
        </w:rPr>
        <w:t> wordt het begrip "grondgebied" in artikel 3, paragraaf 1, a) en artikel 2, paragraaf 3, b) gedefinieerd als zijnde het grondgebied waar de belastingwetgeving van toepassing is die wordt uitgevoerd door de Belgische Federale Overheidsdienst Financiën.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In het geval van </w:t>
      </w:r>
      <w:r w:rsidRPr="006C3A83">
        <w:rPr>
          <w:rFonts w:ascii="Titillium Web" w:eastAsia="Times New Roman" w:hAnsi="Titillium Web" w:cs="Times New Roman"/>
          <w:color w:val="444444"/>
          <w:sz w:val="20"/>
          <w:szCs w:val="20"/>
          <w:u w:val="single"/>
          <w:lang w:eastAsia="en-GB"/>
        </w:rPr>
        <w:t>Taiwan</w:t>
      </w:r>
      <w:r w:rsidRPr="006C3A83">
        <w:rPr>
          <w:rFonts w:ascii="Titillium Web" w:eastAsia="Times New Roman" w:hAnsi="Titillium Web" w:cs="Times New Roman"/>
          <w:color w:val="444444"/>
          <w:sz w:val="20"/>
          <w:szCs w:val="20"/>
          <w:lang w:eastAsia="en-GB"/>
        </w:rPr>
        <w:t> wordt het begrip "grondgebied" in artikel 3, paragraaf 1, a) en artikel 2, paragraaf 3, a) gedefinieerd als zijnde het grondgebied waar de belastingwetgeving van toepassing is die wordt uitgevoerd door het Belastingagentschap ("Taxation Agency"), Ministerie van Financiën, Taipei, of door fiscale autoriteiten van staatkundige onderdelen van Taipei.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Met het begrip "inwoner" van een grondgebied wordt beoogd de persoon die overeenkomstig de interne wetgeving van het betrokken grondgebied aldaar "aan belasting onderworpen is" op grond van zijn woonplaats, verblijf, plaats van oprichting of leiding of enige andere soortgelijke omstandigheid, met uitzondering van de personen die op dat grondgebied enkel aan belasting onderworpen zijn ter zake van inkomsten uit in dat grondgebied gelegen bronnen (artikel 4, paragrafen 1 en 2). In de algemene commentaar bij het OESO-modelverdrag inzake belastingen wordt verduidelijkt dat inwoners van landen met een territoriaal belastingstelsel </w:t>
      </w:r>
      <w:r w:rsidRPr="006C3A83">
        <w:rPr>
          <w:rFonts w:ascii="Titillium Web" w:eastAsia="Times New Roman" w:hAnsi="Titillium Web" w:cs="Times New Roman"/>
          <w:i/>
          <w:iCs/>
          <w:color w:val="444444"/>
          <w:sz w:val="20"/>
          <w:szCs w:val="20"/>
          <w:lang w:eastAsia="en-GB"/>
        </w:rPr>
        <w:t>(1)</w:t>
      </w:r>
      <w:r w:rsidRPr="006C3A83">
        <w:rPr>
          <w:rFonts w:ascii="Titillium Web" w:eastAsia="Times New Roman" w:hAnsi="Titillium Web" w:cs="Times New Roman"/>
          <w:color w:val="444444"/>
          <w:sz w:val="20"/>
          <w:szCs w:val="20"/>
          <w:lang w:eastAsia="en-GB"/>
        </w:rPr>
        <w:t> niet uit de toepassingssfeer van de belastingverdragen worden gesloten. Op uitdrukkelijk verzoek van Taiwan, dat dergelijk stelsel toepast ten aanzien van natuurlijke personen, is deze interpretatie uitdrukkelijk bevestigd door artikel 4, paragraaf 2, in fine.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i/>
          <w:iCs/>
          <w:color w:val="444444"/>
          <w:sz w:val="20"/>
          <w:szCs w:val="20"/>
          <w:lang w:eastAsia="en-GB"/>
        </w:rPr>
        <w:t>[1. In een staat met een territoriaal belastingstelsel wordt enkel belasting geheven op inkomsten die hun bron hebben in de staat zelf.]</w:t>
      </w:r>
      <w:r w:rsidRPr="006C3A83">
        <w:rPr>
          <w:rFonts w:ascii="Titillium Web" w:eastAsia="Times New Roman" w:hAnsi="Titillium Web" w:cs="Times New Roman"/>
          <w:color w:val="444444"/>
          <w:sz w:val="20"/>
          <w:szCs w:val="20"/>
          <w:lang w:eastAsia="en-GB"/>
        </w:rPr>
        <w:t>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Gevallen van </w:t>
      </w:r>
      <w:r w:rsidRPr="006C3A83">
        <w:rPr>
          <w:rFonts w:ascii="Titillium Web" w:eastAsia="Times New Roman" w:hAnsi="Titillium Web" w:cs="Times New Roman"/>
          <w:color w:val="444444"/>
          <w:sz w:val="20"/>
          <w:szCs w:val="20"/>
          <w:u w:val="single"/>
          <w:lang w:eastAsia="en-GB"/>
        </w:rPr>
        <w:t>dubbele woonplaats</w:t>
      </w:r>
      <w:r w:rsidRPr="006C3A83">
        <w:rPr>
          <w:rFonts w:ascii="Titillium Web" w:eastAsia="Times New Roman" w:hAnsi="Titillium Web" w:cs="Times New Roman"/>
          <w:color w:val="444444"/>
          <w:sz w:val="20"/>
          <w:szCs w:val="20"/>
          <w:lang w:eastAsia="en-GB"/>
        </w:rPr>
        <w:t> van natuurlijke personen worden opgelost door de verschillende criteria die zijn voorzien in artikel 4, paragraaf 3, achtereenvolgens toe te passen. Problemen van dubbele woonplaats ter zake van andere dan natuurlijke personen, worden opgelost via het criterium van de plaats van de werkelijke leiding (artikel 4, paragraaf 4). </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2. </w:t>
      </w:r>
      <w:r w:rsidRPr="006C3A83">
        <w:rPr>
          <w:rFonts w:ascii="Titillium Web" w:eastAsia="Times New Roman" w:hAnsi="Titillium Web" w:cs="Times New Roman"/>
          <w:color w:val="444444"/>
          <w:sz w:val="20"/>
          <w:szCs w:val="20"/>
          <w:u w:val="single"/>
          <w:lang w:eastAsia="en-GB"/>
        </w:rPr>
        <w:t>Belastingen waarop het Akkoord van toepassing is (artikel 2)</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lastRenderedPageBreak/>
        <w:t>    In dezelfde zin als hiervoor wordt ook in de aanduiding van de materiële toepassingssfeer van het Akkoord niet verwezen naar een "overeenkomstsluitende Staat" maar wel naar een "grondgebied".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Wat betreft Taiwan, is het Akkoord momenteel van toepassing op de belasting op het samengevoegde inkomen van natuurlijke personen (the individual consolidated income tax) en de belasting op het inkomen van ondernemingen die winst nastreven (the profit-seeking enterprise income tax), inclusief de daarop geheven opcentiemen (hierna genoemd de Taiwanese belastingen).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Wat betreft België, is het Akkoord thans van toepassing op de personenbelasting, de vennootschapsbelasting, de rechtspersonenbelasting, de belasting van niet-inwoners en de aanvullende crisisbijdrage; daaronder zijn ook begrepen de voorheffingen (OV, RV, BV), de opcentiemen op die belastingen en voorheffingen, alsook de aanvullende belastingen op de personenbelasting, ook al zijn deze laatste niet expliciet vermeld in de opsomming. Het Akkoord is tevens van toepassing op nalatigheidintresten (waarop de artikelen 414 tot 417 WIB 92 betrekking hebben) en belastingverhogingen (artikel 444 WIB 92) in verband met de voormelde belastingen. Administratieve en strafrechtelijke boetes (artikel 445 en artikelen 449 tot 452 WIB 92) vallen daarentegen niet onder de toepassing van het Akkoord.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3. </w:t>
      </w:r>
      <w:r w:rsidRPr="006C3A83">
        <w:rPr>
          <w:rFonts w:ascii="Titillium Web" w:eastAsia="Times New Roman" w:hAnsi="Titillium Web" w:cs="Times New Roman"/>
          <w:color w:val="444444"/>
          <w:sz w:val="20"/>
          <w:szCs w:val="20"/>
          <w:u w:val="single"/>
          <w:lang w:eastAsia="en-GB"/>
        </w:rPr>
        <w:t>Definitie "Vaste Inrichting"</w:t>
      </w:r>
      <w:r w:rsidRPr="006C3A83">
        <w:rPr>
          <w:rFonts w:ascii="Titillium Web" w:eastAsia="Times New Roman" w:hAnsi="Titillium Web" w:cs="Times New Roman"/>
          <w:color w:val="444444"/>
          <w:sz w:val="20"/>
          <w:szCs w:val="20"/>
          <w:lang w:eastAsia="en-GB"/>
        </w:rPr>
        <w:t>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De definitie van het begrip "vaste inrichting" wijkt op de hierna volgende punten af van het OESO-Model : </w:t>
      </w:r>
    </w:p>
    <w:p w:rsidR="006C3A83" w:rsidRPr="006C3A83" w:rsidRDefault="006C3A83" w:rsidP="006C3A83">
      <w:pPr>
        <w:numPr>
          <w:ilvl w:val="0"/>
          <w:numId w:val="14"/>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de plaats van uitvoering van een bouwwerk of van constructie-, assemblage-, of installatiewerkzaamheden is een vaste inrichting wanneer de duur ervan </w:t>
      </w:r>
      <w:r w:rsidRPr="006C3A83">
        <w:rPr>
          <w:rFonts w:ascii="Titillium Web" w:eastAsia="Times New Roman" w:hAnsi="Titillium Web" w:cs="Times New Roman"/>
          <w:b/>
          <w:bCs/>
          <w:color w:val="444444"/>
          <w:sz w:val="20"/>
          <w:szCs w:val="20"/>
          <w:lang w:eastAsia="en-GB"/>
        </w:rPr>
        <w:t>zes maanden</w:t>
      </w:r>
      <w:r w:rsidRPr="006C3A83">
        <w:rPr>
          <w:rFonts w:ascii="Titillium Web" w:eastAsia="Times New Roman" w:hAnsi="Titillium Web" w:cs="Times New Roman"/>
          <w:color w:val="444444"/>
          <w:sz w:val="20"/>
          <w:szCs w:val="20"/>
          <w:lang w:eastAsia="en-GB"/>
        </w:rPr>
        <w:t> te boven gaat (artikel 5, paragraaf 3);</w:t>
      </w:r>
      <w:r w:rsidRPr="006C3A83">
        <w:rPr>
          <w:rFonts w:ascii="Titillium Web" w:eastAsia="Times New Roman" w:hAnsi="Titillium Web" w:cs="Times New Roman"/>
          <w:color w:val="444444"/>
          <w:sz w:val="20"/>
          <w:szCs w:val="20"/>
          <w:lang w:eastAsia="en-GB"/>
        </w:rPr>
        <w:br/>
        <w:t> </w:t>
      </w:r>
    </w:p>
    <w:p w:rsidR="006C3A83" w:rsidRPr="006C3A83" w:rsidRDefault="006C3A83" w:rsidP="006C3A83">
      <w:pPr>
        <w:numPr>
          <w:ilvl w:val="0"/>
          <w:numId w:val="14"/>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de </w:t>
      </w:r>
      <w:r w:rsidRPr="006C3A83">
        <w:rPr>
          <w:rFonts w:ascii="Titillium Web" w:eastAsia="Times New Roman" w:hAnsi="Titillium Web" w:cs="Times New Roman"/>
          <w:b/>
          <w:bCs/>
          <w:color w:val="444444"/>
          <w:sz w:val="20"/>
          <w:szCs w:val="20"/>
          <w:lang w:eastAsia="en-GB"/>
        </w:rPr>
        <w:t>werkzaamheden van toezicht</w:t>
      </w:r>
      <w:r w:rsidRPr="006C3A83">
        <w:rPr>
          <w:rFonts w:ascii="Titillium Web" w:eastAsia="Times New Roman" w:hAnsi="Titillium Web" w:cs="Times New Roman"/>
          <w:color w:val="444444"/>
          <w:sz w:val="20"/>
          <w:szCs w:val="20"/>
          <w:lang w:eastAsia="en-GB"/>
        </w:rPr>
        <w:t> die in verband met de plaats van uitvoering van een bouwwerk of van constructie-, assemblage- of installatiewerkzaamheden worden verricht vormen een vaste inrichting, indien die werkzaamheden van toezicht gedurende meer dan zes maanden op het betrokken grondgebied worden verricht (artikel 5, paragraaf 4, a);</w:t>
      </w:r>
      <w:r w:rsidRPr="006C3A83">
        <w:rPr>
          <w:rFonts w:ascii="Titillium Web" w:eastAsia="Times New Roman" w:hAnsi="Titillium Web" w:cs="Times New Roman"/>
          <w:color w:val="444444"/>
          <w:sz w:val="20"/>
          <w:szCs w:val="20"/>
          <w:lang w:eastAsia="en-GB"/>
        </w:rPr>
        <w:br/>
        <w:t> </w:t>
      </w:r>
    </w:p>
    <w:p w:rsidR="006C3A83" w:rsidRPr="006C3A83" w:rsidRDefault="006C3A83" w:rsidP="006C3A83">
      <w:pPr>
        <w:numPr>
          <w:ilvl w:val="0"/>
          <w:numId w:val="14"/>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het </w:t>
      </w:r>
      <w:r w:rsidRPr="006C3A83">
        <w:rPr>
          <w:rFonts w:ascii="Titillium Web" w:eastAsia="Times New Roman" w:hAnsi="Titillium Web" w:cs="Times New Roman"/>
          <w:b/>
          <w:bCs/>
          <w:color w:val="444444"/>
          <w:sz w:val="20"/>
          <w:szCs w:val="20"/>
          <w:lang w:eastAsia="en-GB"/>
        </w:rPr>
        <w:t>verstrekken van diensten</w:t>
      </w:r>
      <w:r w:rsidRPr="006C3A83">
        <w:rPr>
          <w:rFonts w:ascii="Titillium Web" w:eastAsia="Times New Roman" w:hAnsi="Titillium Web" w:cs="Times New Roman"/>
          <w:color w:val="444444"/>
          <w:sz w:val="20"/>
          <w:szCs w:val="20"/>
          <w:lang w:eastAsia="en-GB"/>
        </w:rPr>
        <w:t>, daaronder begrepen adviezen, door middel van werknemers, ander personeel of personen die door de onderneming daarvoor in dienst werden genomen, vormt een vaste inrichting in een grondgebied indien die werkzaamheden (voor hetzelfde of ermee verband houdende projecten) op dat grondgebied worden verricht gedurende een tijdvak of tijdvakken waarvan de duur in totaal 6 maanden in enig tijdvak van 12 maanden te boven gaat. Het aldus verstrekken van diensten vormt een vaste inrichting, zelfs indien de onderneming niet over een vaste bedrijfsinrichting beschikt op het grondgebied waar de diensten worden verstrekt (artikel 5, paragraaf 4, b);</w:t>
      </w:r>
      <w:r w:rsidRPr="006C3A83">
        <w:rPr>
          <w:rFonts w:ascii="Titillium Web" w:eastAsia="Times New Roman" w:hAnsi="Titillium Web" w:cs="Times New Roman"/>
          <w:color w:val="444444"/>
          <w:sz w:val="20"/>
          <w:szCs w:val="20"/>
          <w:lang w:eastAsia="en-GB"/>
        </w:rPr>
        <w:br/>
        <w:t> </w:t>
      </w:r>
    </w:p>
    <w:p w:rsidR="006C3A83" w:rsidRPr="006C3A83" w:rsidRDefault="006C3A83" w:rsidP="006C3A83">
      <w:pPr>
        <w:numPr>
          <w:ilvl w:val="0"/>
          <w:numId w:val="14"/>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indien een onderneming van een grondgebied op het andere grondgebied de hierboven bedoelde werkzaamheden van toezicht verricht of diensten verstrekt, en deze activiteiten vormen op het andere grondgebied een vaste inrichting, mag dit ander grondgebied enkel de winst belasten die kan worden toegerekend aan de werkzaamheden of dienstverstrekkingen die zijn verricht met behulp van werknemers of ander personeel of personen die op dat andere grondgebied aanwezig zijn (Protocolbepaling 1);</w:t>
      </w:r>
      <w:r w:rsidRPr="006C3A83">
        <w:rPr>
          <w:rFonts w:ascii="Titillium Web" w:eastAsia="Times New Roman" w:hAnsi="Titillium Web" w:cs="Times New Roman"/>
          <w:color w:val="444444"/>
          <w:sz w:val="20"/>
          <w:szCs w:val="20"/>
          <w:lang w:eastAsia="en-GB"/>
        </w:rPr>
        <w:br/>
        <w:t> </w:t>
      </w:r>
    </w:p>
    <w:p w:rsidR="006C3A83" w:rsidRPr="006C3A83" w:rsidRDefault="006C3A83" w:rsidP="006C3A83">
      <w:pPr>
        <w:numPr>
          <w:ilvl w:val="0"/>
          <w:numId w:val="14"/>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een afhankelijk vertegenwoordiger die op een grondgebied een machtiging bezit om namens de onderneming overeenkomsten af te sluiten vormt een vaste inrichting voor die onderneming op dat grondgebied, behalve indien de activiteiten van de betrokkene beperkt zijn tot het aankopen van goederen en het verzamelen van informatie (artikel 5, paragraaf 6).</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b/>
          <w:bCs/>
          <w:color w:val="444444"/>
          <w:sz w:val="20"/>
          <w:szCs w:val="20"/>
          <w:lang w:eastAsia="en-GB"/>
        </w:rPr>
        <w:t>V. TOEWIJZIGING VAN DE HEFFINGSBEVOEGDHEID</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1. </w:t>
      </w:r>
      <w:r w:rsidRPr="006C3A83">
        <w:rPr>
          <w:rFonts w:ascii="Titillium Web" w:eastAsia="Times New Roman" w:hAnsi="Titillium Web" w:cs="Times New Roman"/>
          <w:color w:val="444444"/>
          <w:sz w:val="20"/>
          <w:szCs w:val="20"/>
          <w:u w:val="single"/>
          <w:lang w:eastAsia="en-GB"/>
        </w:rPr>
        <w:t>Ondernemingswinst (artikel 7)</w:t>
      </w:r>
      <w:r w:rsidRPr="006C3A83">
        <w:rPr>
          <w:rFonts w:ascii="Titillium Web" w:eastAsia="Times New Roman" w:hAnsi="Titillium Web" w:cs="Times New Roman"/>
          <w:color w:val="444444"/>
          <w:sz w:val="20"/>
          <w:szCs w:val="20"/>
          <w:lang w:eastAsia="en-GB"/>
        </w:rPr>
        <w:t>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xml:space="preserve">    Artikel 7 stemt grotendeels overeen met het OESO-Modelverdrag behoudens het feit dat inkomsten behaald ter zake van een vrij beroep en andere werkzaamheden van zelfstandige aard niet worden </w:t>
      </w:r>
      <w:r w:rsidRPr="006C3A83">
        <w:rPr>
          <w:rFonts w:ascii="Titillium Web" w:eastAsia="Times New Roman" w:hAnsi="Titillium Web" w:cs="Times New Roman"/>
          <w:color w:val="444444"/>
          <w:sz w:val="20"/>
          <w:szCs w:val="20"/>
          <w:lang w:eastAsia="en-GB"/>
        </w:rPr>
        <w:lastRenderedPageBreak/>
        <w:t>beschouwd als ondernemingswinst maar specifiek worden behandeld in artikel 14 van het Akkoord (Zelfstandige beroepen - zie punt 5 hierna).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2. </w:t>
      </w:r>
      <w:r w:rsidRPr="006C3A83">
        <w:rPr>
          <w:rFonts w:ascii="Titillium Web" w:eastAsia="Times New Roman" w:hAnsi="Titillium Web" w:cs="Times New Roman"/>
          <w:color w:val="444444"/>
          <w:sz w:val="20"/>
          <w:szCs w:val="20"/>
          <w:u w:val="single"/>
          <w:lang w:eastAsia="en-GB"/>
        </w:rPr>
        <w:t>Zee- en Luchtvaart (artikel 8)</w:t>
      </w:r>
      <w:r w:rsidRPr="006C3A83">
        <w:rPr>
          <w:rFonts w:ascii="Titillium Web" w:eastAsia="Times New Roman" w:hAnsi="Titillium Web" w:cs="Times New Roman"/>
          <w:color w:val="444444"/>
          <w:sz w:val="20"/>
          <w:szCs w:val="20"/>
          <w:lang w:eastAsia="en-GB"/>
        </w:rPr>
        <w:t>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In artikel 8, paragraaf 2 worden op een niet beperkende wijze een aantal inkomsten opgesomd die winst uitmaken die wordt verkregen uit de exploitatie van schepen of luchtvaartuigen in internationaal verkeer. Deze opsomming bevestigt uitdrukkelijk wat ter zake in de algemene commentaar op het OESO-Modelverdrag (artikel 8) wordt verduidelijkt. In essentie wijkt artikel 8, paragraaf 2 dus niet af van het OESO-Modelverdrag.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Tevens wordt verduidelijkt dat deelnemers in een pool, een gemeenschappelijk bedrijf of een internationaal bedrijfslichaam slechts belastbaar zijn op het gedeelte van de winst dat aan de participant kan worden toegerekend in verhouding tot zijn deelname in de gemeenschappelijke activiteit (artikel 8, paragraaf 4).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3. </w:t>
      </w:r>
      <w:r w:rsidRPr="006C3A83">
        <w:rPr>
          <w:rFonts w:ascii="Titillium Web" w:eastAsia="Times New Roman" w:hAnsi="Titillium Web" w:cs="Times New Roman"/>
          <w:color w:val="444444"/>
          <w:sz w:val="20"/>
          <w:szCs w:val="20"/>
          <w:u w:val="single"/>
          <w:lang w:eastAsia="en-GB"/>
        </w:rPr>
        <w:t>Afhankelijke ondernemingen (artikel 9)</w:t>
      </w:r>
      <w:r w:rsidRPr="006C3A83">
        <w:rPr>
          <w:rFonts w:ascii="Titillium Web" w:eastAsia="Times New Roman" w:hAnsi="Titillium Web" w:cs="Times New Roman"/>
          <w:color w:val="444444"/>
          <w:sz w:val="20"/>
          <w:szCs w:val="20"/>
          <w:lang w:eastAsia="en-GB"/>
        </w:rPr>
        <w:t>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Artikel 9, paragraaf 1 biedt een grondgebied de mogelijkheid de winst van een juridisch onafhankelijke onderneming (inwoner van dat grondgebied) die is verbonden met één of meerdere ondernemingen gelegen in het andere grondgebied recht te zetten in geval, omwille van banden van wederzijdse afhankelijkheid die deze juridisch onafhankelijke ondernemingen verbinden, de voorwaarden die deze ondernemingen onderling hebben vastgesteld voor hun handels- of financiële betrekkingen verschillen van die welke ondernemingen die geen enkele band van wederzijdse afhankelijkheid hebben, onderling zouden zijn overeengekomen. Voor de toepassing van deze bepaling wordt verwezen naar de circulaire AFZ/98-0003 van 28.06.1999.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Ingeval van rechtzetting van de winst die behaald werd uit verrichtingen tussen afhankelijke ondernemingen, kan er een dubbele belasting ontstaan, aangezien de onderneming waarvan de winst wordt rechtgezet, tevens belast zal worden op winst waarop de op het andere grondgebied gelegen afhankelijke onderneming normaliter reeds werd belast. Zulke gevallen van economische dubbele belasting kunnen eventueel het voorwerp uitmaken van de regeling voor onderling overleg die is vastgelegd in artikel 24 van het Akkoord of van een aanvraag tot voorafgaande beslissing zoals voorzien in artikel 185, § 2 WIB 92. </w:t>
      </w:r>
    </w:p>
    <w:p w:rsidR="006C3A83" w:rsidRPr="006C3A83" w:rsidRDefault="006C3A83" w:rsidP="006C3A83">
      <w:pPr>
        <w:shd w:val="clear" w:color="auto" w:fill="FFFFFF"/>
        <w:spacing w:after="0" w:line="240" w:lineRule="auto"/>
        <w:rPr>
          <w:rFonts w:ascii="Titillium Web" w:eastAsia="Times New Roman" w:hAnsi="Titillium Web" w:cs="Times New Roman"/>
          <w:i/>
          <w:iCs/>
          <w:color w:val="444444"/>
          <w:sz w:val="20"/>
          <w:szCs w:val="20"/>
          <w:lang w:eastAsia="en-GB"/>
        </w:rPr>
      </w:pPr>
      <w:r w:rsidRPr="006C3A83">
        <w:rPr>
          <w:rFonts w:ascii="Titillium Web" w:eastAsia="Times New Roman" w:hAnsi="Titillium Web" w:cs="Times New Roman"/>
          <w:color w:val="444444"/>
          <w:sz w:val="20"/>
          <w:szCs w:val="20"/>
          <w:lang w:eastAsia="en-GB"/>
        </w:rPr>
        <w:t>4. </w:t>
      </w:r>
      <w:r w:rsidRPr="006C3A83">
        <w:rPr>
          <w:rFonts w:ascii="Titillium Web" w:eastAsia="Times New Roman" w:hAnsi="Titillium Web" w:cs="Times New Roman"/>
          <w:color w:val="444444"/>
          <w:sz w:val="20"/>
          <w:szCs w:val="20"/>
          <w:u w:val="single"/>
          <w:lang w:eastAsia="en-GB"/>
        </w:rPr>
        <w:t>Dividenden, interesten en royalties (artikel 10, 11 en 12)</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i/>
          <w:iCs/>
          <w:color w:val="444444"/>
          <w:sz w:val="20"/>
          <w:szCs w:val="20"/>
          <w:lang w:eastAsia="en-GB"/>
        </w:rPr>
        <w:t>a)</w:t>
      </w:r>
      <w:r w:rsidRPr="006C3A83">
        <w:rPr>
          <w:rFonts w:ascii="Titillium Web" w:eastAsia="Times New Roman" w:hAnsi="Titillium Web" w:cs="Times New Roman"/>
          <w:color w:val="444444"/>
          <w:sz w:val="20"/>
          <w:szCs w:val="20"/>
          <w:lang w:eastAsia="en-GB"/>
        </w:rPr>
        <w:t> </w:t>
      </w:r>
      <w:r w:rsidRPr="006C3A83">
        <w:rPr>
          <w:rFonts w:ascii="Titillium Web" w:eastAsia="Times New Roman" w:hAnsi="Titillium Web" w:cs="Times New Roman"/>
          <w:i/>
          <w:iCs/>
          <w:color w:val="444444"/>
          <w:sz w:val="20"/>
          <w:szCs w:val="20"/>
          <w:u w:val="single"/>
          <w:lang w:eastAsia="en-GB"/>
        </w:rPr>
        <w:t>Dividenden (artikel 10)</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De Belgische roerende voorheffing, respectievelijk de Taiwanese bronbelasting op dividenden mag niet meer bedragen dan 10% van het brutobedrag van de dividenden indien de uiteindelijk gerechtigde een inwoner is van Taiwan, respectievelijk België (artikel 10, paragraaf 2). </w:t>
      </w:r>
    </w:p>
    <w:p w:rsidR="006C3A83" w:rsidRPr="006C3A83" w:rsidRDefault="006C3A83" w:rsidP="006C3A83">
      <w:pPr>
        <w:shd w:val="clear" w:color="auto" w:fill="FFFFFF"/>
        <w:spacing w:after="240" w:line="240" w:lineRule="auto"/>
        <w:rPr>
          <w:rFonts w:ascii="Titillium Web" w:eastAsia="Times New Roman" w:hAnsi="Titillium Web" w:cs="Times New Roman"/>
          <w:i/>
          <w:iCs/>
          <w:color w:val="444444"/>
          <w:sz w:val="20"/>
          <w:szCs w:val="20"/>
          <w:lang w:eastAsia="en-GB"/>
        </w:rPr>
      </w:pPr>
      <w:r w:rsidRPr="006C3A83">
        <w:rPr>
          <w:rFonts w:ascii="Titillium Web" w:eastAsia="Times New Roman" w:hAnsi="Titillium Web" w:cs="Times New Roman"/>
          <w:color w:val="444444"/>
          <w:sz w:val="20"/>
          <w:szCs w:val="20"/>
          <w:lang w:eastAsia="en-GB"/>
        </w:rPr>
        <w:t>    Men dient hierbij op te merken dat de definitie van de uitdrukking "dividend" alle inkomsten omvat die door de fiscale wetgeving van het grondgebied waarvan de vennootschap - schuldenaar een inwoner is, aan hetzelfde fiscale regime als inkomsten van aandelen worden onderworpen. Dividenden van Belgische oorsprong omvatten bijgevolg alle inkomsten beoogd in artikel 18 WIB 92 (inclusief de in dit laatste artikel beoogde interesten van voorschotten die fiscaal als dividenden worden gekwalificeerd).</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i/>
          <w:iCs/>
          <w:color w:val="444444"/>
          <w:sz w:val="20"/>
          <w:szCs w:val="20"/>
          <w:lang w:eastAsia="en-GB"/>
        </w:rPr>
        <w:t>b) </w:t>
      </w:r>
      <w:r w:rsidRPr="006C3A83">
        <w:rPr>
          <w:rFonts w:ascii="Titillium Web" w:eastAsia="Times New Roman" w:hAnsi="Titillium Web" w:cs="Times New Roman"/>
          <w:i/>
          <w:iCs/>
          <w:color w:val="444444"/>
          <w:sz w:val="20"/>
          <w:szCs w:val="20"/>
          <w:u w:val="single"/>
          <w:lang w:eastAsia="en-GB"/>
        </w:rPr>
        <w:t>Interesten (artikel 11)</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De Belgische roerende voorheffing, respectievelijk de Taiwanese bronbelasting op niet bovenmatige interesten mag niet meer bedragen dan 10% van het brutobedrag van de interesten indien de uiteindelijk gerechtigde een inwoner is van Taiwan, respectievelijk België (artikel 11, paragraaf 2).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In elk geval zijn de hierna opgesomde interesten (mits ze niet bovenmatig zijn) vrijgesteld van Belgische roerende voorheffing of Taiwanese bronbelasting (artikel 11, paragraaf 3): </w:t>
      </w:r>
    </w:p>
    <w:p w:rsidR="006C3A83" w:rsidRPr="006C3A83" w:rsidRDefault="006C3A83" w:rsidP="006C3A83">
      <w:pPr>
        <w:numPr>
          <w:ilvl w:val="0"/>
          <w:numId w:val="15"/>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xml:space="preserve">interesten betaald in het kader van een stelsel dat werd georganiseerd voor het bevorderen van de uitvoer. Langs Belgische zijde geldt deze vrijstelling in elk geval voor interest van leningen of kredieten waarbij "Finexpo", "Creditexport" of de Nationale Delcrederedienst betrokken zijn; van Taiwanese zijde geldt die vrijstelling voor interesten ontvangen door instellingen waarvan het </w:t>
      </w:r>
      <w:r w:rsidRPr="006C3A83">
        <w:rPr>
          <w:rFonts w:ascii="Titillium Web" w:eastAsia="Times New Roman" w:hAnsi="Titillium Web" w:cs="Times New Roman"/>
          <w:color w:val="444444"/>
          <w:sz w:val="20"/>
          <w:szCs w:val="20"/>
          <w:lang w:eastAsia="en-GB"/>
        </w:rPr>
        <w:lastRenderedPageBreak/>
        <w:t>doel bestaat uit het bevorderen van de uitvoer en die erkend zijn door het belastingagentschap ("Taxation Agency"), Ministerie van Financiën, Taipei;</w:t>
      </w:r>
      <w:r w:rsidRPr="006C3A83">
        <w:rPr>
          <w:rFonts w:ascii="Titillium Web" w:eastAsia="Times New Roman" w:hAnsi="Titillium Web" w:cs="Times New Roman"/>
          <w:color w:val="444444"/>
          <w:sz w:val="20"/>
          <w:szCs w:val="20"/>
          <w:lang w:eastAsia="en-GB"/>
        </w:rPr>
        <w:br/>
        <w:t> </w:t>
      </w:r>
    </w:p>
    <w:p w:rsidR="006C3A83" w:rsidRPr="006C3A83" w:rsidRDefault="006C3A83" w:rsidP="006C3A83">
      <w:pPr>
        <w:numPr>
          <w:ilvl w:val="0"/>
          <w:numId w:val="15"/>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interesten betaald op interbancaire leningen;</w:t>
      </w:r>
      <w:r w:rsidRPr="006C3A83">
        <w:rPr>
          <w:rFonts w:ascii="Titillium Web" w:eastAsia="Times New Roman" w:hAnsi="Titillium Web" w:cs="Times New Roman"/>
          <w:color w:val="444444"/>
          <w:sz w:val="20"/>
          <w:szCs w:val="20"/>
          <w:lang w:eastAsia="en-GB"/>
        </w:rPr>
        <w:br/>
        <w:t> </w:t>
      </w:r>
    </w:p>
    <w:p w:rsidR="006C3A83" w:rsidRPr="006C3A83" w:rsidRDefault="006C3A83" w:rsidP="006C3A83">
      <w:pPr>
        <w:numPr>
          <w:ilvl w:val="0"/>
          <w:numId w:val="15"/>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interesten betaald aan een openbaar lichaam van een grondgebied of aan de centrale bank van dat grondgebied.</w:t>
      </w:r>
    </w:p>
    <w:p w:rsidR="006C3A83" w:rsidRPr="006C3A83" w:rsidRDefault="006C3A83" w:rsidP="006C3A83">
      <w:pPr>
        <w:shd w:val="clear" w:color="auto" w:fill="FFFFFF"/>
        <w:spacing w:after="240" w:line="240" w:lineRule="auto"/>
        <w:rPr>
          <w:rFonts w:ascii="Titillium Web" w:eastAsia="Times New Roman" w:hAnsi="Titillium Web" w:cs="Times New Roman"/>
          <w:i/>
          <w:iCs/>
          <w:color w:val="444444"/>
          <w:sz w:val="20"/>
          <w:szCs w:val="20"/>
          <w:lang w:eastAsia="en-GB"/>
        </w:rPr>
      </w:pPr>
      <w:r w:rsidRPr="006C3A83">
        <w:rPr>
          <w:rFonts w:ascii="Titillium Web" w:eastAsia="Times New Roman" w:hAnsi="Titillium Web" w:cs="Times New Roman"/>
          <w:color w:val="444444"/>
          <w:sz w:val="20"/>
          <w:szCs w:val="20"/>
          <w:lang w:eastAsia="en-GB"/>
        </w:rPr>
        <w:t>Interest van handelsschuldvorderingen wegens termijnbetaling voor koopwaar, goederen of diensten, alsook boeten voor laattijdige betaling worden niet beschouwd als interest. Zulks geldt ook voor interest van rentegevende voorschotten die als dividend wordt gekwalificeerd (artikel 11, paragraaf 4). </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i/>
          <w:iCs/>
          <w:color w:val="444444"/>
          <w:sz w:val="20"/>
          <w:szCs w:val="20"/>
          <w:lang w:eastAsia="en-GB"/>
        </w:rPr>
        <w:t>c) </w:t>
      </w:r>
      <w:r w:rsidRPr="006C3A83">
        <w:rPr>
          <w:rFonts w:ascii="Titillium Web" w:eastAsia="Times New Roman" w:hAnsi="Titillium Web" w:cs="Times New Roman"/>
          <w:i/>
          <w:iCs/>
          <w:color w:val="444444"/>
          <w:sz w:val="20"/>
          <w:szCs w:val="20"/>
          <w:u w:val="single"/>
          <w:lang w:eastAsia="en-GB"/>
        </w:rPr>
        <w:t>Royalty's (artikel 12)</w:t>
      </w:r>
    </w:p>
    <w:p w:rsidR="006C3A83" w:rsidRPr="006C3A83" w:rsidRDefault="006C3A83" w:rsidP="006C3A83">
      <w:pPr>
        <w:shd w:val="clear" w:color="auto" w:fill="FFFFFF"/>
        <w:spacing w:after="240" w:line="240" w:lineRule="auto"/>
        <w:rPr>
          <w:rFonts w:ascii="Titillium Web" w:eastAsia="Times New Roman" w:hAnsi="Titillium Web" w:cs="Times New Roman"/>
          <w:i/>
          <w:iCs/>
          <w:color w:val="444444"/>
          <w:sz w:val="20"/>
          <w:szCs w:val="20"/>
          <w:lang w:eastAsia="en-GB"/>
        </w:rPr>
      </w:pPr>
      <w:r w:rsidRPr="006C3A83">
        <w:rPr>
          <w:rFonts w:ascii="Titillium Web" w:eastAsia="Times New Roman" w:hAnsi="Titillium Web" w:cs="Times New Roman"/>
          <w:color w:val="444444"/>
          <w:sz w:val="20"/>
          <w:szCs w:val="20"/>
          <w:lang w:eastAsia="en-GB"/>
        </w:rPr>
        <w:t>    De Belgische roerende voorheffing, respectievelijk de Taiwanese bronbelasting op royalty's mag niet meer bedragen dan 10% van het brutobedrag van de royalty's indien de uiteindelijk gerechtigde een inwoner is van Taiwan, respectievelijk België (artikel 12, paragraaf 2). </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i/>
          <w:iCs/>
          <w:color w:val="444444"/>
          <w:sz w:val="20"/>
          <w:szCs w:val="20"/>
          <w:lang w:eastAsia="en-GB"/>
        </w:rPr>
        <w:t>d) </w:t>
      </w:r>
      <w:r w:rsidRPr="006C3A83">
        <w:rPr>
          <w:rFonts w:ascii="Titillium Web" w:eastAsia="Times New Roman" w:hAnsi="Titillium Web" w:cs="Times New Roman"/>
          <w:i/>
          <w:iCs/>
          <w:color w:val="444444"/>
          <w:sz w:val="20"/>
          <w:szCs w:val="20"/>
          <w:u w:val="single"/>
          <w:lang w:eastAsia="en-GB"/>
        </w:rPr>
        <w:t>Toepassing verminderde bronheffing voor roerende inkomsten uit Belgische bron verkregen door inwoners van Taiwan.</w:t>
      </w:r>
    </w:p>
    <w:p w:rsidR="006C3A83" w:rsidRPr="006C3A83" w:rsidRDefault="006C3A83" w:rsidP="006C3A83">
      <w:pPr>
        <w:shd w:val="clear" w:color="auto" w:fill="FFFFFF"/>
        <w:spacing w:after="240" w:line="240" w:lineRule="auto"/>
        <w:rPr>
          <w:rFonts w:ascii="Titillium Web" w:eastAsia="Times New Roman" w:hAnsi="Titillium Web" w:cs="Times New Roman"/>
          <w:i/>
          <w:iCs/>
          <w:color w:val="444444"/>
          <w:sz w:val="20"/>
          <w:szCs w:val="20"/>
          <w:lang w:eastAsia="en-GB"/>
        </w:rPr>
      </w:pPr>
      <w:r w:rsidRPr="006C3A83">
        <w:rPr>
          <w:rFonts w:ascii="Titillium Web" w:eastAsia="Times New Roman" w:hAnsi="Titillium Web" w:cs="Times New Roman"/>
          <w:color w:val="444444"/>
          <w:sz w:val="20"/>
          <w:szCs w:val="20"/>
          <w:lang w:eastAsia="en-GB"/>
        </w:rPr>
        <w:t>    De vermindering van Belgische belasting wordt op de gebruikelijke wijze verleend, na aanvraag door middel van een formulier 276 Div-Aut, 276 Int-Aut of 276 R, naar het geval. </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i/>
          <w:iCs/>
          <w:color w:val="444444"/>
          <w:sz w:val="20"/>
          <w:szCs w:val="20"/>
          <w:lang w:eastAsia="en-GB"/>
        </w:rPr>
        <w:t>e) </w:t>
      </w:r>
      <w:r w:rsidRPr="006C3A83">
        <w:rPr>
          <w:rFonts w:ascii="Titillium Web" w:eastAsia="Times New Roman" w:hAnsi="Titillium Web" w:cs="Times New Roman"/>
          <w:i/>
          <w:iCs/>
          <w:color w:val="444444"/>
          <w:sz w:val="20"/>
          <w:szCs w:val="20"/>
          <w:u w:val="single"/>
          <w:lang w:eastAsia="en-GB"/>
        </w:rPr>
        <w:t>Toepassing verminderde bronheffing voor roerende inkomsten uit Taiwanese bron verkregen door inwoners van België.</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Inwoners van België die dividenden, interesten of royalty's verkrijgen uit Taiwanese bron en menen recht te hebben op een verminderde bronheffing zoals voorzien in het Akkoord dienen een woonplaatsattest 276 Conv. aan de Taiwanese schuldenaar van de inkomsten te overhandigen. Op dit woonplaatsattest, dat door de Belgische belastingdienst waarvan zij afhangen wordt uitgereikt, dienen de verkrijgers van de inkomsten de juiste aard en het bedrag van de inkomsten waarvoor ze de toepassing van het Akkoord vragen, aan te duiden. </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5. </w:t>
      </w:r>
      <w:r w:rsidRPr="006C3A83">
        <w:rPr>
          <w:rFonts w:ascii="Titillium Web" w:eastAsia="Times New Roman" w:hAnsi="Titillium Web" w:cs="Times New Roman"/>
          <w:color w:val="444444"/>
          <w:sz w:val="20"/>
          <w:szCs w:val="20"/>
          <w:u w:val="single"/>
          <w:lang w:eastAsia="en-GB"/>
        </w:rPr>
        <w:t>Zelfstandige beroepen (artikel 14)</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Ondanks het feit dat dit artikel niet meer voorkomt in het OESO-modelverdrag vanaf de versie 2003, werd het nog wel opgenomen in dit Akkoord. Het betreft inkomsten behaald in het kader van de uitoefening van een vrij beroep of van andere werkzaamheden van zelfstandige aard.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In de lijn van het UNO-modelverdrag heeft het grondgebied waar het zelfstandig beroep wordt uitgeoefend het recht om belasting te heffen op inkomsten verkregen daaruit, niet enkel indien de verkrijger er beschikt over een vaste basis maar ook indien hij daar gedurende minstens 183 dagen verblijft in de loop van het belastbaar tijdperk. In dat geval is de heffingsbevoegdheid in principe beperkt tot het deel van de inkomsten verkregen ter zake van de werkzaamheden verricht in de vaste basis of tijdens het verblijf op het grondgebied gedurende minstens 183 dagen.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6. </w:t>
      </w:r>
      <w:r w:rsidRPr="006C3A83">
        <w:rPr>
          <w:rFonts w:ascii="Titillium Web" w:eastAsia="Times New Roman" w:hAnsi="Titillium Web" w:cs="Times New Roman"/>
          <w:color w:val="444444"/>
          <w:sz w:val="20"/>
          <w:szCs w:val="20"/>
          <w:u w:val="single"/>
          <w:lang w:eastAsia="en-GB"/>
        </w:rPr>
        <w:t>Niet-zelfstandige beroepen (artikel 15)</w:t>
      </w:r>
      <w:r w:rsidRPr="006C3A83">
        <w:rPr>
          <w:rFonts w:ascii="Titillium Web" w:eastAsia="Times New Roman" w:hAnsi="Titillium Web" w:cs="Times New Roman"/>
          <w:color w:val="444444"/>
          <w:sz w:val="20"/>
          <w:szCs w:val="20"/>
          <w:lang w:eastAsia="en-GB"/>
        </w:rPr>
        <w:t>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Dit artikel betreft lonen, salarissen en soortgelijke beloningen, met uitzondering van tantièmes (artikel 16), pensioenen en lijfrenten (artikel 18) en overheidsbeloningen (artikel 19). Ook inkomsten verkregen door artiesten of sportbeoefenaars worden niet bedoeld in artikel 15 doch vallen onder de toepassing van artikel 17.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Lonen, salarissen en soortgelijke beloningen zijn belastbaar op het grondgebied waar de dienstbetrekking wordt uitgeoefend, onder voorbehoud van de zogenaamde 183 dagenregel (de toepassingsvoorwaarden van deze regel worden verduidelijkt in artikel 15, paragaaf 2).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Er geldt wel een uitzondering op deze (gebruikelijke) regeling voor de beloningen verkregen terzake van een dienstbetrekking uitgeoefend aan boord van een schip of luchtvaartuig dat in internationaal verkeer wordt geëxploiteerd. In dat geval mogen de beloningen worden belast op het grondgebied waar de plaats van werkelijke leiding van de onderneming die het schip of luchtvaartuig in internationaal verkeer exploiteert, gelegen is (artikel 15, paragraaf 3).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lastRenderedPageBreak/>
        <w:t>7. </w:t>
      </w:r>
      <w:r w:rsidRPr="006C3A83">
        <w:rPr>
          <w:rFonts w:ascii="Titillium Web" w:eastAsia="Times New Roman" w:hAnsi="Titillium Web" w:cs="Times New Roman"/>
          <w:color w:val="444444"/>
          <w:sz w:val="20"/>
          <w:szCs w:val="20"/>
          <w:u w:val="single"/>
          <w:lang w:eastAsia="en-GB"/>
        </w:rPr>
        <w:t>Vennootschapsleiding (artikel 16)</w:t>
      </w:r>
      <w:r w:rsidRPr="006C3A83">
        <w:rPr>
          <w:rFonts w:ascii="Titillium Web" w:eastAsia="Times New Roman" w:hAnsi="Titillium Web" w:cs="Times New Roman"/>
          <w:color w:val="444444"/>
          <w:sz w:val="20"/>
          <w:szCs w:val="20"/>
          <w:lang w:eastAsia="en-GB"/>
        </w:rPr>
        <w:t>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In overeenstemming met de gebruikelijke regels mogen beloningen (tantièmes, enz.) verkregen door een inwoner van een grondgebied in zijn hoedanigheid van </w:t>
      </w:r>
      <w:r w:rsidRPr="006C3A83">
        <w:rPr>
          <w:rFonts w:ascii="Titillium Web" w:eastAsia="Times New Roman" w:hAnsi="Titillium Web" w:cs="Times New Roman"/>
          <w:b/>
          <w:bCs/>
          <w:color w:val="444444"/>
          <w:sz w:val="20"/>
          <w:szCs w:val="20"/>
          <w:lang w:eastAsia="en-GB"/>
        </w:rPr>
        <w:t>lid van de raad van bestuur of van toezicht of van een gelijkaardig orgaan</w:t>
      </w:r>
      <w:r w:rsidRPr="006C3A83">
        <w:rPr>
          <w:rFonts w:ascii="Titillium Web" w:eastAsia="Times New Roman" w:hAnsi="Titillium Web" w:cs="Times New Roman"/>
          <w:color w:val="444444"/>
          <w:sz w:val="20"/>
          <w:szCs w:val="20"/>
          <w:lang w:eastAsia="en-GB"/>
        </w:rPr>
        <w:t>, worden belast binnen het grondgebied waarvan de vennootschap die ze betaalt inwoner is (artikel 16, paragraaf 1, </w:t>
      </w:r>
      <w:r w:rsidRPr="006C3A83">
        <w:rPr>
          <w:rFonts w:ascii="Titillium Web" w:eastAsia="Times New Roman" w:hAnsi="Titillium Web" w:cs="Times New Roman"/>
          <w:b/>
          <w:bCs/>
          <w:color w:val="444444"/>
          <w:sz w:val="20"/>
          <w:szCs w:val="20"/>
          <w:lang w:eastAsia="en-GB"/>
        </w:rPr>
        <w:t>1e lid</w:t>
      </w:r>
      <w:r w:rsidRPr="006C3A83">
        <w:rPr>
          <w:rFonts w:ascii="Titillium Web" w:eastAsia="Times New Roman" w:hAnsi="Titillium Web" w:cs="Times New Roman"/>
          <w:color w:val="444444"/>
          <w:sz w:val="20"/>
          <w:szCs w:val="20"/>
          <w:lang w:eastAsia="en-GB"/>
        </w:rPr>
        <w:t>).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Deze regel geldt ook ten aanzien van beloningen voor werkzaamheden die, overeenkomstig de wetgeving van het grondgebied waarvan de uitbetalende vennootschap inwoner is, als </w:t>
      </w:r>
      <w:r w:rsidRPr="006C3A83">
        <w:rPr>
          <w:rFonts w:ascii="Titillium Web" w:eastAsia="Times New Roman" w:hAnsi="Titillium Web" w:cs="Times New Roman"/>
          <w:b/>
          <w:bCs/>
          <w:color w:val="444444"/>
          <w:sz w:val="20"/>
          <w:szCs w:val="20"/>
          <w:lang w:eastAsia="en-GB"/>
        </w:rPr>
        <w:t>soortgelijke werkzaamheden</w:t>
      </w:r>
      <w:r w:rsidRPr="006C3A83">
        <w:rPr>
          <w:rFonts w:ascii="Titillium Web" w:eastAsia="Times New Roman" w:hAnsi="Titillium Web" w:cs="Times New Roman"/>
          <w:color w:val="444444"/>
          <w:sz w:val="20"/>
          <w:szCs w:val="20"/>
          <w:lang w:eastAsia="en-GB"/>
        </w:rPr>
        <w:t> worden beschouwd als diegene als bedoeld hiervoor (artikel 16, paragraaf 1, </w:t>
      </w:r>
      <w:r w:rsidRPr="006C3A83">
        <w:rPr>
          <w:rFonts w:ascii="Titillium Web" w:eastAsia="Times New Roman" w:hAnsi="Titillium Web" w:cs="Times New Roman"/>
          <w:b/>
          <w:bCs/>
          <w:color w:val="444444"/>
          <w:sz w:val="20"/>
          <w:szCs w:val="20"/>
          <w:lang w:eastAsia="en-GB"/>
        </w:rPr>
        <w:t>2e lid</w:t>
      </w:r>
      <w:r w:rsidRPr="006C3A83">
        <w:rPr>
          <w:rFonts w:ascii="Titillium Web" w:eastAsia="Times New Roman" w:hAnsi="Titillium Web" w:cs="Times New Roman"/>
          <w:color w:val="444444"/>
          <w:sz w:val="20"/>
          <w:szCs w:val="20"/>
          <w:lang w:eastAsia="en-GB"/>
        </w:rPr>
        <w:t>). In het geval van België wordt met deze bepaling inzonderheid de volgende personen beoogd: </w:t>
      </w:r>
    </w:p>
    <w:p w:rsidR="006C3A83" w:rsidRPr="006C3A83" w:rsidRDefault="006C3A83" w:rsidP="006C3A83">
      <w:pPr>
        <w:numPr>
          <w:ilvl w:val="0"/>
          <w:numId w:val="16"/>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de bestuurder en de zaakvoerder van een vennootschap naar Belgisch recht die wordt bestuurd door een </w:t>
      </w:r>
      <w:r w:rsidRPr="006C3A83">
        <w:rPr>
          <w:rFonts w:ascii="Titillium Web" w:eastAsia="Times New Roman" w:hAnsi="Titillium Web" w:cs="Times New Roman"/>
          <w:b/>
          <w:bCs/>
          <w:color w:val="444444"/>
          <w:sz w:val="20"/>
          <w:szCs w:val="20"/>
          <w:lang w:eastAsia="en-GB"/>
        </w:rPr>
        <w:t>enig bestuurder of zaakvoerder</w:t>
      </w:r>
      <w:r w:rsidRPr="006C3A83">
        <w:rPr>
          <w:rFonts w:ascii="Titillium Web" w:eastAsia="Times New Roman" w:hAnsi="Titillium Web" w:cs="Times New Roman"/>
          <w:color w:val="444444"/>
          <w:sz w:val="20"/>
          <w:szCs w:val="20"/>
          <w:lang w:eastAsia="en-GB"/>
        </w:rPr>
        <w:t>;</w:t>
      </w:r>
      <w:r w:rsidRPr="006C3A83">
        <w:rPr>
          <w:rFonts w:ascii="Titillium Web" w:eastAsia="Times New Roman" w:hAnsi="Titillium Web" w:cs="Times New Roman"/>
          <w:color w:val="444444"/>
          <w:sz w:val="20"/>
          <w:szCs w:val="20"/>
          <w:lang w:eastAsia="en-GB"/>
        </w:rPr>
        <w:br/>
        <w:t> </w:t>
      </w:r>
    </w:p>
    <w:p w:rsidR="006C3A83" w:rsidRPr="006C3A83" w:rsidRDefault="006C3A83" w:rsidP="006C3A83">
      <w:pPr>
        <w:numPr>
          <w:ilvl w:val="0"/>
          <w:numId w:val="16"/>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de commissaris of vereffenaar die de werkzaamheid als </w:t>
      </w:r>
      <w:r w:rsidRPr="006C3A83">
        <w:rPr>
          <w:rFonts w:ascii="Titillium Web" w:eastAsia="Times New Roman" w:hAnsi="Titillium Web" w:cs="Times New Roman"/>
          <w:b/>
          <w:bCs/>
          <w:color w:val="444444"/>
          <w:sz w:val="20"/>
          <w:szCs w:val="20"/>
          <w:lang w:eastAsia="en-GB"/>
        </w:rPr>
        <w:t>enig commissaris of vereffenaar</w:t>
      </w:r>
      <w:r w:rsidRPr="006C3A83">
        <w:rPr>
          <w:rFonts w:ascii="Titillium Web" w:eastAsia="Times New Roman" w:hAnsi="Titillium Web" w:cs="Times New Roman"/>
          <w:color w:val="444444"/>
          <w:sz w:val="20"/>
          <w:szCs w:val="20"/>
          <w:lang w:eastAsia="en-GB"/>
        </w:rPr>
        <w:t> uitoefent voor rekening van een vennootschap naar Belgisch recht;</w:t>
      </w:r>
      <w:r w:rsidRPr="006C3A83">
        <w:rPr>
          <w:rFonts w:ascii="Titillium Web" w:eastAsia="Times New Roman" w:hAnsi="Titillium Web" w:cs="Times New Roman"/>
          <w:color w:val="444444"/>
          <w:sz w:val="20"/>
          <w:szCs w:val="20"/>
          <w:lang w:eastAsia="en-GB"/>
        </w:rPr>
        <w:br/>
        <w:t> </w:t>
      </w:r>
    </w:p>
    <w:p w:rsidR="006C3A83" w:rsidRPr="006C3A83" w:rsidRDefault="006C3A83" w:rsidP="006C3A83">
      <w:pPr>
        <w:numPr>
          <w:ilvl w:val="0"/>
          <w:numId w:val="16"/>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val="en-GB" w:eastAsia="en-GB"/>
        </w:rPr>
      </w:pPr>
      <w:r w:rsidRPr="006C3A83">
        <w:rPr>
          <w:rFonts w:ascii="Titillium Web" w:eastAsia="Times New Roman" w:hAnsi="Titillium Web" w:cs="Times New Roman"/>
          <w:color w:val="444444"/>
          <w:sz w:val="20"/>
          <w:szCs w:val="20"/>
          <w:lang w:eastAsia="en-GB"/>
        </w:rPr>
        <w:t>de personen die werkzaamheden uitoefenen die in het Belgisch recht worden beschouwd als zijnde </w:t>
      </w:r>
      <w:r w:rsidRPr="006C3A83">
        <w:rPr>
          <w:rFonts w:ascii="Titillium Web" w:eastAsia="Times New Roman" w:hAnsi="Titillium Web" w:cs="Times New Roman"/>
          <w:b/>
          <w:bCs/>
          <w:color w:val="444444"/>
          <w:sz w:val="20"/>
          <w:szCs w:val="20"/>
          <w:lang w:eastAsia="en-GB"/>
        </w:rPr>
        <w:t>gelijkaardig</w:t>
      </w:r>
      <w:r w:rsidRPr="006C3A83">
        <w:rPr>
          <w:rFonts w:ascii="Titillium Web" w:eastAsia="Times New Roman" w:hAnsi="Titillium Web" w:cs="Times New Roman"/>
          <w:color w:val="444444"/>
          <w:sz w:val="20"/>
          <w:szCs w:val="20"/>
          <w:lang w:eastAsia="en-GB"/>
        </w:rPr>
        <w:t xml:space="preserve"> aan die van bestuurder, zaakvoerder, commissaris of vereffenaar. </w:t>
      </w:r>
      <w:r w:rsidRPr="006C3A83">
        <w:rPr>
          <w:rFonts w:ascii="Titillium Web" w:eastAsia="Times New Roman" w:hAnsi="Titillium Web" w:cs="Times New Roman"/>
          <w:color w:val="444444"/>
          <w:sz w:val="20"/>
          <w:szCs w:val="20"/>
          <w:lang w:val="en-GB" w:eastAsia="en-GB"/>
        </w:rPr>
        <w:t>In concreto zijn dat</w:t>
      </w:r>
      <w:r w:rsidRPr="006C3A83">
        <w:rPr>
          <w:rFonts w:ascii="Titillium Web" w:eastAsia="Times New Roman" w:hAnsi="Titillium Web" w:cs="Times New Roman"/>
          <w:color w:val="444444"/>
          <w:sz w:val="20"/>
          <w:szCs w:val="20"/>
          <w:lang w:val="en-GB" w:eastAsia="en-GB"/>
        </w:rPr>
        <w:br/>
        <w:t> </w:t>
      </w:r>
    </w:p>
    <w:p w:rsidR="006C3A83" w:rsidRPr="006C3A83" w:rsidRDefault="006C3A83" w:rsidP="006C3A83">
      <w:pPr>
        <w:numPr>
          <w:ilvl w:val="1"/>
          <w:numId w:val="16"/>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hetzij personen die zich in een identieke rechtstoestand bevinden als die van bestuurder, zaakvoerder enz. maar die een andere titel dragen (bijvoorbeeld de regenten van de Nationale Bank van België);</w:t>
      </w:r>
      <w:r w:rsidRPr="006C3A83">
        <w:rPr>
          <w:rFonts w:ascii="Titillium Web" w:eastAsia="Times New Roman" w:hAnsi="Titillium Web" w:cs="Times New Roman"/>
          <w:color w:val="444444"/>
          <w:sz w:val="20"/>
          <w:szCs w:val="20"/>
          <w:lang w:eastAsia="en-GB"/>
        </w:rPr>
        <w:br/>
        <w:t> </w:t>
      </w:r>
    </w:p>
    <w:p w:rsidR="006C3A83" w:rsidRPr="006C3A83" w:rsidRDefault="006C3A83" w:rsidP="006C3A83">
      <w:pPr>
        <w:numPr>
          <w:ilvl w:val="1"/>
          <w:numId w:val="16"/>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hetzij personen die, hoewel ze zich niet in een soortgelijke rechtstoestand bevinden, in feite bevoegdheden uitoefenen die, krachtens de wet of de statuten, eigen zijn aan bestuurders, zaakvoerders, enz., ongeacht of die bevoegdheden krachtens de statuten, een beslissing van de algemene vergadering of ter uitvoering van elke andere akte, zoals een vonnis of een arbeidsovereenkomst, worden uitgeoefend.</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Indien evenwel een lid van de raad van bestuur of van toezicht (of van een gelijkaardig orgaan) van een vennootschap binnen die vennootschap </w:t>
      </w:r>
      <w:r w:rsidRPr="006C3A83">
        <w:rPr>
          <w:rFonts w:ascii="Titillium Web" w:eastAsia="Times New Roman" w:hAnsi="Titillium Web" w:cs="Times New Roman"/>
          <w:b/>
          <w:bCs/>
          <w:color w:val="444444"/>
          <w:sz w:val="20"/>
          <w:szCs w:val="20"/>
          <w:lang w:eastAsia="en-GB"/>
        </w:rPr>
        <w:t>dagelijkse werkzaamheden van leidinggevende, technische, commerciële of financiële aard uitoefent</w:t>
      </w:r>
      <w:r w:rsidRPr="006C3A83">
        <w:rPr>
          <w:rFonts w:ascii="Titillium Web" w:eastAsia="Times New Roman" w:hAnsi="Titillium Web" w:cs="Times New Roman"/>
          <w:color w:val="444444"/>
          <w:sz w:val="20"/>
          <w:szCs w:val="20"/>
          <w:lang w:eastAsia="en-GB"/>
        </w:rPr>
        <w:t>, zijn de beloningen die hij in die hoedanigheid verkrijgt evenwel belastbaar overeenkomstig de regels die van toepassing zijn op beloningen van loontrekkers (artikel 15), d.w.z. belastingheffing binnen het grondgebied waar de werkzaamheden worden uitgeoefend onder voorbehoud van de toepassing van de 183 dagenregel. Dit geldt ook voor beloningen die een inwoner van een grondgebied verkrijgt ter zake van zijn </w:t>
      </w:r>
      <w:r w:rsidRPr="006C3A83">
        <w:rPr>
          <w:rFonts w:ascii="Titillium Web" w:eastAsia="Times New Roman" w:hAnsi="Titillium Web" w:cs="Times New Roman"/>
          <w:b/>
          <w:bCs/>
          <w:color w:val="444444"/>
          <w:sz w:val="20"/>
          <w:szCs w:val="20"/>
          <w:lang w:eastAsia="en-GB"/>
        </w:rPr>
        <w:t>dagelijkse werkzaamheid</w:t>
      </w:r>
      <w:r w:rsidRPr="006C3A83">
        <w:rPr>
          <w:rFonts w:ascii="Titillium Web" w:eastAsia="Times New Roman" w:hAnsi="Titillium Web" w:cs="Times New Roman"/>
          <w:color w:val="444444"/>
          <w:sz w:val="20"/>
          <w:szCs w:val="20"/>
          <w:lang w:eastAsia="en-GB"/>
        </w:rPr>
        <w:t> als vennoot in een vennootschap, niet zijnde een vennootschap op aandelen, die inwoner is van het andere grondgebied (artikel 16, paragraaf 2). Onder "vennootschap andere dan een vennootschap op aandelen" begrijpt men in het geval van België: een BVBA, een CVBA, een CVOA, een V.O.F. en een Comm. V. De regels van artikel 15 (niet-zelfstandige beroepen) zijn dus van toepassing zelfs indien er geen band van ondergeschiktheid bestaat tussen een vennoot en de vennootschap (bijvoorbeeld indien het een meerderheidsvennoot betreft die zaakvoerder is van de vennootschap)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Een dagelijkse </w:t>
      </w:r>
      <w:r w:rsidRPr="006C3A83">
        <w:rPr>
          <w:rFonts w:ascii="Titillium Web" w:eastAsia="Times New Roman" w:hAnsi="Titillium Web" w:cs="Times New Roman"/>
          <w:b/>
          <w:bCs/>
          <w:color w:val="444444"/>
          <w:sz w:val="20"/>
          <w:szCs w:val="20"/>
          <w:lang w:eastAsia="en-GB"/>
        </w:rPr>
        <w:t>werkzaamheid van leidinggevende aard</w:t>
      </w:r>
      <w:r w:rsidRPr="006C3A83">
        <w:rPr>
          <w:rFonts w:ascii="Titillium Web" w:eastAsia="Times New Roman" w:hAnsi="Titillium Web" w:cs="Times New Roman"/>
          <w:color w:val="444444"/>
          <w:sz w:val="20"/>
          <w:szCs w:val="20"/>
          <w:lang w:eastAsia="en-GB"/>
        </w:rPr>
        <w:t> kan worden </w:t>
      </w:r>
      <w:r w:rsidRPr="006C3A83">
        <w:rPr>
          <w:rFonts w:ascii="Titillium Web" w:eastAsia="Times New Roman" w:hAnsi="Titillium Web" w:cs="Times New Roman"/>
          <w:b/>
          <w:bCs/>
          <w:color w:val="444444"/>
          <w:sz w:val="20"/>
          <w:szCs w:val="20"/>
          <w:lang w:eastAsia="en-GB"/>
        </w:rPr>
        <w:t>gedefinieerd</w:t>
      </w:r>
      <w:r w:rsidRPr="006C3A83">
        <w:rPr>
          <w:rFonts w:ascii="Titillium Web" w:eastAsia="Times New Roman" w:hAnsi="Titillium Web" w:cs="Times New Roman"/>
          <w:color w:val="444444"/>
          <w:sz w:val="20"/>
          <w:szCs w:val="20"/>
          <w:lang w:eastAsia="en-GB"/>
        </w:rPr>
        <w:t> als zijnde een activiteit van bestuur die de dagelijkse behoeftes van de vennootschap niet overstijgt of het geheel van de exploitatiehandelingen die geen beslissingen vormen die behoren tot de werkzaamheid van bestuurder of zaakvoerder, maar het dagelijkse leven van de vennootschap uitmaken. De benoeming, de afzetting en de bevoegdheden van de afgevaardigde(n) bij het dagelijks bestuur worden in principe geregeld door de statuten. Onder </w:t>
      </w:r>
      <w:r w:rsidRPr="006C3A83">
        <w:rPr>
          <w:rFonts w:ascii="Titillium Web" w:eastAsia="Times New Roman" w:hAnsi="Titillium Web" w:cs="Times New Roman"/>
          <w:b/>
          <w:bCs/>
          <w:color w:val="444444"/>
          <w:sz w:val="20"/>
          <w:szCs w:val="20"/>
          <w:lang w:eastAsia="en-GB"/>
        </w:rPr>
        <w:t>dagelijkse werkzaamheid van technische aard</w:t>
      </w:r>
      <w:r w:rsidRPr="006C3A83">
        <w:rPr>
          <w:rFonts w:ascii="Titillium Web" w:eastAsia="Times New Roman" w:hAnsi="Titillium Web" w:cs="Times New Roman"/>
          <w:color w:val="444444"/>
          <w:sz w:val="20"/>
          <w:szCs w:val="20"/>
          <w:lang w:eastAsia="en-GB"/>
        </w:rPr>
        <w:t>, wordt verstaan een werkzaamheid van alle aard die continu en regelmatig, en niet uitzonderlijk of op specifieke punten gericht, en al dan niet krachtens een arbeidsovereenkomst wordt uitgeoefend.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Voor bijkomende toelichting over de verdragrechtelijke aspecten van de inkomsten verbonden met vennootschapsleiding kan men de circulaire nr. AFZ/Intern.IB/2002-0026 van 17 december 2002 raadplegen. </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lastRenderedPageBreak/>
        <w:t>8. </w:t>
      </w:r>
      <w:r w:rsidRPr="006C3A83">
        <w:rPr>
          <w:rFonts w:ascii="Titillium Web" w:eastAsia="Times New Roman" w:hAnsi="Titillium Web" w:cs="Times New Roman"/>
          <w:color w:val="444444"/>
          <w:sz w:val="20"/>
          <w:szCs w:val="20"/>
          <w:u w:val="single"/>
          <w:lang w:eastAsia="en-GB"/>
        </w:rPr>
        <w:t>Artiesten en sportbeoefenaars</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Inkomsten verkregen door artiesten en sportbeoefenaars ter zake van persoonlijke werkzaamheden mogen belast worden binnen het grondgebied waar deze werkzaamheden worden verricht. Ditzelfde principe geldt ook indien de inkomsten terzake van de door de artiest of sportbeoefenaar persoonlijke uitgeoefende werkzaamheden niet worden verkregen door de artiest of sportbeoefenaar zelf maar door een andere persoon. </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9. </w:t>
      </w:r>
      <w:r w:rsidRPr="006C3A83">
        <w:rPr>
          <w:rFonts w:ascii="Titillium Web" w:eastAsia="Times New Roman" w:hAnsi="Titillium Web" w:cs="Times New Roman"/>
          <w:color w:val="444444"/>
          <w:sz w:val="20"/>
          <w:szCs w:val="20"/>
          <w:u w:val="single"/>
          <w:lang w:eastAsia="en-GB"/>
        </w:rPr>
        <w:t>Pensioenen en lijfrenten (artikel 18)</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Dit artikel betreft pensioenen en soortgelijke beloningen die hun oorzaak vinden in een vroeger uitgeoefende </w:t>
      </w:r>
      <w:r w:rsidRPr="006C3A83">
        <w:rPr>
          <w:rFonts w:ascii="Titillium Web" w:eastAsia="Times New Roman" w:hAnsi="Titillium Web" w:cs="Times New Roman"/>
          <w:b/>
          <w:bCs/>
          <w:color w:val="444444"/>
          <w:sz w:val="20"/>
          <w:szCs w:val="20"/>
          <w:lang w:eastAsia="en-GB"/>
        </w:rPr>
        <w:t>dienstbetrekking</w:t>
      </w:r>
      <w:r w:rsidRPr="006C3A83">
        <w:rPr>
          <w:rFonts w:ascii="Titillium Web" w:eastAsia="Times New Roman" w:hAnsi="Titillium Web" w:cs="Times New Roman"/>
          <w:color w:val="444444"/>
          <w:sz w:val="20"/>
          <w:szCs w:val="20"/>
          <w:lang w:eastAsia="en-GB"/>
        </w:rPr>
        <w:t>, ongeacht of deze betrekking werd uitgeoefend in de private of publieke sector.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Op het vlak van de verdeling van de heffingsbevoegdheid wijkt het artikel 18 in belangrijke mate af van het OESO-Modelverdrag.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Pensioenen mogen worden belast binnen het grondgebied van waaruit ze </w:t>
      </w:r>
      <w:r w:rsidRPr="006C3A83">
        <w:rPr>
          <w:rFonts w:ascii="Titillium Web" w:eastAsia="Times New Roman" w:hAnsi="Titillium Web" w:cs="Times New Roman"/>
          <w:b/>
          <w:bCs/>
          <w:color w:val="444444"/>
          <w:sz w:val="20"/>
          <w:szCs w:val="20"/>
          <w:lang w:eastAsia="en-GB"/>
        </w:rPr>
        <w:t>afkomstig</w:t>
      </w:r>
      <w:r w:rsidRPr="006C3A83">
        <w:rPr>
          <w:rFonts w:ascii="Titillium Web" w:eastAsia="Times New Roman" w:hAnsi="Titillium Web" w:cs="Times New Roman"/>
          <w:color w:val="444444"/>
          <w:sz w:val="20"/>
          <w:szCs w:val="20"/>
          <w:lang w:eastAsia="en-GB"/>
        </w:rPr>
        <w:t>zijn. Dit geldt ook voor lijfrenten en pensioenen betaald door een orgaan van een grondgebied ter uitvoering van de </w:t>
      </w:r>
      <w:r w:rsidRPr="006C3A83">
        <w:rPr>
          <w:rFonts w:ascii="Titillium Web" w:eastAsia="Times New Roman" w:hAnsi="Titillium Web" w:cs="Times New Roman"/>
          <w:b/>
          <w:bCs/>
          <w:color w:val="444444"/>
          <w:sz w:val="20"/>
          <w:szCs w:val="20"/>
          <w:lang w:eastAsia="en-GB"/>
        </w:rPr>
        <w:t>sociale wetgeving</w:t>
      </w:r>
      <w:r w:rsidRPr="006C3A83">
        <w:rPr>
          <w:rFonts w:ascii="Titillium Web" w:eastAsia="Times New Roman" w:hAnsi="Titillium Web" w:cs="Times New Roman"/>
          <w:color w:val="444444"/>
          <w:sz w:val="20"/>
          <w:szCs w:val="20"/>
          <w:lang w:eastAsia="en-GB"/>
        </w:rPr>
        <w:t> die binnen dat grondgebied van kracht is of ter uitvoering van een algemeen stelsel georganiseerd ter </w:t>
      </w:r>
      <w:r w:rsidRPr="006C3A83">
        <w:rPr>
          <w:rFonts w:ascii="Titillium Web" w:eastAsia="Times New Roman" w:hAnsi="Titillium Web" w:cs="Times New Roman"/>
          <w:b/>
          <w:bCs/>
          <w:color w:val="444444"/>
          <w:sz w:val="20"/>
          <w:szCs w:val="20"/>
          <w:lang w:eastAsia="en-GB"/>
        </w:rPr>
        <w:t>aanvulling van de voordelen van die sociale wetgeving</w:t>
      </w:r>
      <w:r w:rsidRPr="006C3A83">
        <w:rPr>
          <w:rFonts w:ascii="Titillium Web" w:eastAsia="Times New Roman" w:hAnsi="Titillium Web" w:cs="Times New Roman"/>
          <w:color w:val="444444"/>
          <w:sz w:val="20"/>
          <w:szCs w:val="20"/>
          <w:lang w:eastAsia="en-GB"/>
        </w:rPr>
        <w:t> (artikel 18, paragraaf 1).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In het geval van België worden overeenkomstig de op dit ogenblik geldende interne wetgeving met de uitdrukking " </w:t>
      </w:r>
      <w:r w:rsidRPr="006C3A83">
        <w:rPr>
          <w:rFonts w:ascii="Titillium Web" w:eastAsia="Times New Roman" w:hAnsi="Titillium Web" w:cs="Times New Roman"/>
          <w:b/>
          <w:bCs/>
          <w:color w:val="444444"/>
          <w:sz w:val="20"/>
          <w:szCs w:val="20"/>
          <w:lang w:eastAsia="en-GB"/>
        </w:rPr>
        <w:t>pensioenen betaald ter uitvoering van een algemeen stelsel georganiseerd ter aanvulling van de voordelen van de sociale wetgeving"</w:t>
      </w:r>
      <w:r w:rsidRPr="006C3A83">
        <w:rPr>
          <w:rFonts w:ascii="Titillium Web" w:eastAsia="Times New Roman" w:hAnsi="Titillium Web" w:cs="Times New Roman"/>
          <w:color w:val="444444"/>
          <w:sz w:val="20"/>
          <w:szCs w:val="20"/>
          <w:lang w:eastAsia="en-GB"/>
        </w:rPr>
        <w:t> de hierna volgende inkomsten beoogd: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a) de inkomsten die zijn bedoeld in artikel 34, § 1, 2°, b) en c) WIB 92: </w:t>
      </w:r>
    </w:p>
    <w:p w:rsidR="006C3A83" w:rsidRPr="006C3A83" w:rsidRDefault="006C3A83" w:rsidP="006C3A83">
      <w:pPr>
        <w:numPr>
          <w:ilvl w:val="0"/>
          <w:numId w:val="17"/>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het betreft de inkomsten die geheel of gedeeltelijk zijn gevormd door middel van bijdragen en premies voor </w:t>
      </w:r>
      <w:r w:rsidRPr="006C3A83">
        <w:rPr>
          <w:rFonts w:ascii="Titillium Web" w:eastAsia="Times New Roman" w:hAnsi="Titillium Web" w:cs="Times New Roman"/>
          <w:b/>
          <w:bCs/>
          <w:color w:val="444444"/>
          <w:sz w:val="20"/>
          <w:szCs w:val="20"/>
          <w:u w:val="single"/>
          <w:lang w:eastAsia="en-GB"/>
        </w:rPr>
        <w:t>de vorming van een aanvullend pensioen</w:t>
      </w:r>
      <w:r w:rsidRPr="006C3A83">
        <w:rPr>
          <w:rFonts w:ascii="Titillium Web" w:eastAsia="Times New Roman" w:hAnsi="Titillium Web" w:cs="Times New Roman"/>
          <w:color w:val="444444"/>
          <w:sz w:val="20"/>
          <w:szCs w:val="20"/>
          <w:lang w:eastAsia="en-GB"/>
        </w:rPr>
        <w:t> als bedoeld in de wet van 28 april 2003 betreffende de aanvullende pensioenen en het belastingstelsel van die pensioenen en van sommige aanvullende voordelen inzake sociale zekerheid, daarin begrepen de aanvullende pensioenen die worden toegekend in uitvoering van een solidariteitstoezegging als bedoeld in de artikelen 10 en 11 van de laatstgenoemde wet, de pensioenen die zijn gevormd door middel van bijdragen en premies als bedoeld in artikel 38, § 1, eerste lid, 18° en 19°, WIB 92, en de aanvullende pensioenen die zijn gevormd met bijdragen gedaan in het kader van een individuele voortzetting van een pensioentoezegging als bedoeld in artikel 33 van de voormelde wet van 28 april 2003;</w:t>
      </w:r>
      <w:r w:rsidRPr="006C3A83">
        <w:rPr>
          <w:rFonts w:ascii="Titillium Web" w:eastAsia="Times New Roman" w:hAnsi="Titillium Web" w:cs="Times New Roman"/>
          <w:color w:val="444444"/>
          <w:sz w:val="20"/>
          <w:szCs w:val="20"/>
          <w:lang w:eastAsia="en-GB"/>
        </w:rPr>
        <w:br/>
        <w:t> </w:t>
      </w:r>
    </w:p>
    <w:p w:rsidR="006C3A83" w:rsidRPr="006C3A83" w:rsidRDefault="006C3A83" w:rsidP="006C3A83">
      <w:pPr>
        <w:numPr>
          <w:ilvl w:val="0"/>
          <w:numId w:val="17"/>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onder de uitdrukking </w:t>
      </w:r>
      <w:r w:rsidRPr="006C3A83">
        <w:rPr>
          <w:rFonts w:ascii="Titillium Web" w:eastAsia="Times New Roman" w:hAnsi="Titillium Web" w:cs="Times New Roman"/>
          <w:b/>
          <w:bCs/>
          <w:color w:val="444444"/>
          <w:sz w:val="20"/>
          <w:szCs w:val="20"/>
          <w:lang w:eastAsia="en-GB"/>
        </w:rPr>
        <w:t>"aanvullend pensioen"</w:t>
      </w:r>
      <w:r w:rsidRPr="006C3A83">
        <w:rPr>
          <w:rFonts w:ascii="Titillium Web" w:eastAsia="Times New Roman" w:hAnsi="Titillium Web" w:cs="Times New Roman"/>
          <w:color w:val="444444"/>
          <w:sz w:val="20"/>
          <w:szCs w:val="20"/>
          <w:lang w:eastAsia="en-GB"/>
        </w:rPr>
        <w:t> wordt in dit verband verstaan het rust- en/of overlevingspensioen bij overlijden van de aangeslotene vóór of na pensionering, of de ermee overeenstemmende kapitaalswaarde, die op basis van de in een pensioenreglement of een pensioenovereenkomst bepaalde verplichte stortingen worden toegekend ter aanvulling van een krachtens een wettelijke sociale zekerheidsregeling vastgesteld pensioen;</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b) de inkomsten die zijn bedoeld in artikel 34, § 1, 2°bis WIB 92, met name de aanvullende pensioenen voor zelfstandigen als bedoeld in titel II, hoofdstuk I, afdeling 4, van de programmawet van 24 december 2002;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c) de inkomsten uit pensioensparen ingevolge artikel 1458 WIB 92, als bedoeld in artikel 34, § 1, 3° van hetzelfde wetboek. Ingevolge de bepalingen van § 2 van voormeld artikel 34 behoren tot die inkomsten: </w:t>
      </w:r>
    </w:p>
    <w:p w:rsidR="006C3A83" w:rsidRPr="006C3A83" w:rsidRDefault="006C3A83" w:rsidP="006C3A83">
      <w:pPr>
        <w:numPr>
          <w:ilvl w:val="0"/>
          <w:numId w:val="18"/>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spaartegoeden op een collectieve of individuele spaarrekening;</w:t>
      </w:r>
    </w:p>
    <w:p w:rsidR="006C3A83" w:rsidRPr="006C3A83" w:rsidRDefault="006C3A83" w:rsidP="006C3A83">
      <w:pPr>
        <w:numPr>
          <w:ilvl w:val="0"/>
          <w:numId w:val="18"/>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pensioenen, renten, kapitalen en afkoopwaarden van een spaarverzekering;</w:t>
      </w:r>
    </w:p>
    <w:p w:rsidR="006C3A83" w:rsidRPr="006C3A83" w:rsidRDefault="006C3A83" w:rsidP="006C3A83">
      <w:pPr>
        <w:numPr>
          <w:ilvl w:val="0"/>
          <w:numId w:val="18"/>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val="en-GB" w:eastAsia="en-GB"/>
        </w:rPr>
      </w:pPr>
      <w:r w:rsidRPr="006C3A83">
        <w:rPr>
          <w:rFonts w:ascii="Titillium Web" w:eastAsia="Times New Roman" w:hAnsi="Titillium Web" w:cs="Times New Roman"/>
          <w:color w:val="444444"/>
          <w:sz w:val="20"/>
          <w:szCs w:val="20"/>
          <w:lang w:val="en-GB" w:eastAsia="en-GB"/>
        </w:rPr>
        <w:t>de volgende overdrachten :</w:t>
      </w:r>
    </w:p>
    <w:p w:rsidR="006C3A83" w:rsidRPr="006C3A83" w:rsidRDefault="006C3A83" w:rsidP="006C3A83">
      <w:pPr>
        <w:numPr>
          <w:ilvl w:val="1"/>
          <w:numId w:val="18"/>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gedeeltelijke overdrachten van tegoeden van spaarrekeningen of van technische reserves van spaarverzekeringen;</w:t>
      </w:r>
    </w:p>
    <w:p w:rsidR="006C3A83" w:rsidRPr="006C3A83" w:rsidRDefault="006C3A83" w:rsidP="006C3A83">
      <w:pPr>
        <w:numPr>
          <w:ilvl w:val="1"/>
          <w:numId w:val="18"/>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volledige overdrachten van tegoeden van een individuele of collectieve spaarrekening naar een spaarverzekering;</w:t>
      </w:r>
    </w:p>
    <w:p w:rsidR="006C3A83" w:rsidRPr="006C3A83" w:rsidRDefault="006C3A83" w:rsidP="006C3A83">
      <w:pPr>
        <w:numPr>
          <w:ilvl w:val="1"/>
          <w:numId w:val="18"/>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lastRenderedPageBreak/>
        <w:t>volledige overdrachten van technische reserves betreffende een spaarverzekering naar een individuele of collectieve spaarrekening.</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10. </w:t>
      </w:r>
      <w:r w:rsidRPr="006C3A83">
        <w:rPr>
          <w:rFonts w:ascii="Titillium Web" w:eastAsia="Times New Roman" w:hAnsi="Titillium Web" w:cs="Times New Roman"/>
          <w:color w:val="444444"/>
          <w:sz w:val="20"/>
          <w:szCs w:val="20"/>
          <w:u w:val="single"/>
          <w:lang w:eastAsia="en-GB"/>
        </w:rPr>
        <w:t>Andere inkomsten (artikel 21)</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België mag ingevolge dit artikel alle bestanddelen van het inkomen die niet in de andere artikelen van het Akkoord worden behandeld, belasten op voorwaarde dat: </w:t>
      </w:r>
    </w:p>
    <w:p w:rsidR="006C3A83" w:rsidRPr="006C3A83" w:rsidRDefault="006C3A83" w:rsidP="006C3A83">
      <w:pPr>
        <w:numPr>
          <w:ilvl w:val="0"/>
          <w:numId w:val="19"/>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ze worden verkregen door inwoners van België (artikel 21, paragaaf 1); of dat</w:t>
      </w:r>
      <w:r w:rsidRPr="006C3A83">
        <w:rPr>
          <w:rFonts w:ascii="Titillium Web" w:eastAsia="Times New Roman" w:hAnsi="Titillium Web" w:cs="Times New Roman"/>
          <w:color w:val="444444"/>
          <w:sz w:val="20"/>
          <w:szCs w:val="20"/>
          <w:lang w:eastAsia="en-GB"/>
        </w:rPr>
        <w:br/>
        <w:t> </w:t>
      </w:r>
    </w:p>
    <w:p w:rsidR="006C3A83" w:rsidRPr="006C3A83" w:rsidRDefault="006C3A83" w:rsidP="006C3A83">
      <w:pPr>
        <w:numPr>
          <w:ilvl w:val="0"/>
          <w:numId w:val="19"/>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ze afkomstig zijn uit Belgische bronnen en verkregen worden door inwoners van Taiwan (artikel 21, paragraaf 3): deze bepaling strekt ertoe dubbele vrijstelling te vermijden inzonderheid in het geval van Taiwan dat een territoriaal belastingregime </w:t>
      </w:r>
      <w:r w:rsidRPr="006C3A83">
        <w:rPr>
          <w:rFonts w:ascii="Titillium Web" w:eastAsia="Times New Roman" w:hAnsi="Titillium Web" w:cs="Times New Roman"/>
          <w:i/>
          <w:iCs/>
          <w:color w:val="444444"/>
          <w:sz w:val="20"/>
          <w:szCs w:val="20"/>
          <w:lang w:eastAsia="en-GB"/>
        </w:rPr>
        <w:t>(2)</w:t>
      </w:r>
      <w:r w:rsidRPr="006C3A83">
        <w:rPr>
          <w:rFonts w:ascii="Titillium Web" w:eastAsia="Times New Roman" w:hAnsi="Titillium Web" w:cs="Times New Roman"/>
          <w:color w:val="444444"/>
          <w:sz w:val="20"/>
          <w:szCs w:val="20"/>
          <w:lang w:eastAsia="en-GB"/>
        </w:rPr>
        <w:t> toepast ten aanzien van inkomsten van natuurlijke personen.</w:t>
      </w:r>
    </w:p>
    <w:p w:rsidR="006C3A83" w:rsidRPr="006C3A83" w:rsidRDefault="006C3A83" w:rsidP="006C3A83">
      <w:pPr>
        <w:shd w:val="clear" w:color="auto" w:fill="FFFFFF"/>
        <w:spacing w:after="240" w:line="240" w:lineRule="auto"/>
        <w:rPr>
          <w:rFonts w:ascii="Titillium Web" w:eastAsia="Times New Roman" w:hAnsi="Titillium Web" w:cs="Times New Roman"/>
          <w:b/>
          <w:bCs/>
          <w:color w:val="444444"/>
          <w:sz w:val="20"/>
          <w:szCs w:val="20"/>
          <w:lang w:eastAsia="en-GB"/>
        </w:rPr>
      </w:pPr>
      <w:r w:rsidRPr="006C3A83">
        <w:rPr>
          <w:rFonts w:ascii="Titillium Web" w:eastAsia="Times New Roman" w:hAnsi="Titillium Web" w:cs="Times New Roman"/>
          <w:i/>
          <w:iCs/>
          <w:color w:val="444444"/>
          <w:sz w:val="20"/>
          <w:szCs w:val="20"/>
          <w:lang w:eastAsia="en-GB"/>
        </w:rPr>
        <w:t>[2. In een territoriaal belastingstelsel wordt enkel belasting geheven op inkomsten die hun bron hebben in de belastingheffende staat zelf.]</w:t>
      </w:r>
      <w:r w:rsidRPr="006C3A83">
        <w:rPr>
          <w:rFonts w:ascii="Titillium Web" w:eastAsia="Times New Roman" w:hAnsi="Titillium Web" w:cs="Times New Roman"/>
          <w:color w:val="444444"/>
          <w:sz w:val="20"/>
          <w:szCs w:val="20"/>
          <w:lang w:eastAsia="en-GB"/>
        </w:rPr>
        <w:t> </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b/>
          <w:bCs/>
          <w:color w:val="444444"/>
          <w:sz w:val="20"/>
          <w:szCs w:val="20"/>
          <w:lang w:eastAsia="en-GB"/>
        </w:rPr>
        <w:t>VI. VERMIJDING VAN DUBBELE BELASTING (ARTIKEL 22)</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1. </w:t>
      </w:r>
      <w:r w:rsidRPr="006C3A83">
        <w:rPr>
          <w:rFonts w:ascii="Titillium Web" w:eastAsia="Times New Roman" w:hAnsi="Titillium Web" w:cs="Times New Roman"/>
          <w:color w:val="444444"/>
          <w:sz w:val="20"/>
          <w:szCs w:val="20"/>
          <w:u w:val="single"/>
          <w:lang w:eastAsia="en-GB"/>
        </w:rPr>
        <w:t>Inwoners van België</w:t>
      </w:r>
      <w:r w:rsidRPr="006C3A83">
        <w:rPr>
          <w:rFonts w:ascii="Titillium Web" w:eastAsia="Times New Roman" w:hAnsi="Titillium Web" w:cs="Times New Roman"/>
          <w:color w:val="444444"/>
          <w:sz w:val="20"/>
          <w:szCs w:val="20"/>
          <w:lang w:eastAsia="en-GB"/>
        </w:rPr>
        <w:t>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a) In België wordt dubbele belasting op de gebruikelijke manier vermeden : </w:t>
      </w:r>
    </w:p>
    <w:p w:rsidR="006C3A83" w:rsidRPr="006C3A83" w:rsidRDefault="006C3A83" w:rsidP="006C3A83">
      <w:pPr>
        <w:numPr>
          <w:ilvl w:val="0"/>
          <w:numId w:val="20"/>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inkomsten (niet zijnde dividenden, interest en royalty's) die in Taiwan zijn belast: vrijstelling met progressievoorbehoud (artikel 22, paragraaf 2, a). Punt 4 van het Protocol verduidelijkt dat inkomensbestanddelen die volgens de Taiwanese wetgeving niet belastbaar zijn of van belasting zijn vrijgesteld niet beschouwd worden als "zijnde belast". Het inkomen wordt met andere woorden niet beschouwd als "zijnde belast" indien het inkomen door geen enkele bepaling van de fiscale wetgeving van Taiwan wordt beoogd of indien de Taiwanese fiscale wetgeving dit inkomen uitdrukkelijk vrijstelt of het uitdrukkelijk als niet-belastbaar aanmerkt </w:t>
      </w:r>
      <w:r w:rsidRPr="006C3A83">
        <w:rPr>
          <w:rFonts w:ascii="Titillium Web" w:eastAsia="Times New Roman" w:hAnsi="Titillium Web" w:cs="Times New Roman"/>
          <w:i/>
          <w:iCs/>
          <w:color w:val="444444"/>
          <w:sz w:val="20"/>
          <w:szCs w:val="20"/>
          <w:lang w:eastAsia="en-GB"/>
        </w:rPr>
        <w:t>(3)</w:t>
      </w:r>
      <w:r w:rsidRPr="006C3A83">
        <w:rPr>
          <w:rFonts w:ascii="Titillium Web" w:eastAsia="Times New Roman" w:hAnsi="Titillium Web" w:cs="Times New Roman"/>
          <w:color w:val="444444"/>
          <w:sz w:val="20"/>
          <w:szCs w:val="20"/>
          <w:lang w:eastAsia="en-GB"/>
        </w:rPr>
        <w:t>;</w:t>
      </w:r>
      <w:r w:rsidRPr="006C3A83">
        <w:rPr>
          <w:rFonts w:ascii="Titillium Web" w:eastAsia="Times New Roman" w:hAnsi="Titillium Web" w:cs="Times New Roman"/>
          <w:color w:val="444444"/>
          <w:sz w:val="20"/>
          <w:szCs w:val="20"/>
          <w:lang w:eastAsia="en-GB"/>
        </w:rPr>
        <w:br/>
        <w:t> </w:t>
      </w:r>
    </w:p>
    <w:p w:rsidR="006C3A83" w:rsidRPr="006C3A83" w:rsidRDefault="006C3A83" w:rsidP="006C3A83">
      <w:pPr>
        <w:numPr>
          <w:ilvl w:val="0"/>
          <w:numId w:val="20"/>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dividenden die onder bepaalde voorwaarden zijn ontvangen door vennootschappen : toepassing van het stelsel van de definitief belaste inkomsten (D.B.I.) waarin is voorzien door de Belgische interne wetgeving (artikel 22, paragraaf 2, b);</w:t>
      </w:r>
      <w:r w:rsidRPr="006C3A83">
        <w:rPr>
          <w:rFonts w:ascii="Titillium Web" w:eastAsia="Times New Roman" w:hAnsi="Titillium Web" w:cs="Times New Roman"/>
          <w:color w:val="444444"/>
          <w:sz w:val="20"/>
          <w:szCs w:val="20"/>
          <w:lang w:eastAsia="en-GB"/>
        </w:rPr>
        <w:br/>
        <w:t> </w:t>
      </w:r>
    </w:p>
    <w:p w:rsidR="006C3A83" w:rsidRPr="006C3A83" w:rsidRDefault="006C3A83" w:rsidP="006C3A83">
      <w:pPr>
        <w:numPr>
          <w:ilvl w:val="0"/>
          <w:numId w:val="20"/>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interest en royalty's die deel uitmaken van het gezamenlijk belastbaar inkomen : toekenning van het forfaitair gedeelte van de buitenlandse belasting (F.B.B.) op de voorwaarden en binnen de grenzen die door de interne wetgeving zijn bepaald (artikel 22, paragraaf 2, c).</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i/>
          <w:iCs/>
          <w:color w:val="444444"/>
          <w:sz w:val="20"/>
          <w:szCs w:val="20"/>
          <w:lang w:eastAsia="en-GB"/>
        </w:rPr>
        <w:t>[3. Voor meer details aangaande de invulling van deze bepaling: zie Ci.nr. R 9.Div/577.956 (AOIF 21/2006) d.d. 11 mei 2006, Deel V. Bewijslast en bewijsmiddelen, randnr. 18, onderdeel "inkomen werkelijk belast in de partnerstaat".]</w:t>
      </w:r>
      <w:r w:rsidRPr="006C3A83">
        <w:rPr>
          <w:rFonts w:ascii="Titillium Web" w:eastAsia="Times New Roman" w:hAnsi="Titillium Web" w:cs="Times New Roman"/>
          <w:color w:val="444444"/>
          <w:sz w:val="20"/>
          <w:szCs w:val="20"/>
          <w:lang w:eastAsia="en-GB"/>
        </w:rPr>
        <w:t>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b) Het Akkoord bevat in het geval van België ook de gebruikelijke bepaling ter voorkoming van dubbele aftrek van verliezen (artikel 22, paragraaf 2, d). </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2. </w:t>
      </w:r>
      <w:r w:rsidRPr="006C3A83">
        <w:rPr>
          <w:rFonts w:ascii="Titillium Web" w:eastAsia="Times New Roman" w:hAnsi="Titillium Web" w:cs="Times New Roman"/>
          <w:color w:val="444444"/>
          <w:sz w:val="20"/>
          <w:szCs w:val="20"/>
          <w:u w:val="single"/>
          <w:lang w:eastAsia="en-GB"/>
        </w:rPr>
        <w:t>Inwoners van Taiwan</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In het geval van Taiwan gelden de volgende regels ter vermijding van dubbele belasting : </w:t>
      </w:r>
    </w:p>
    <w:p w:rsidR="006C3A83" w:rsidRPr="006C3A83" w:rsidRDefault="006C3A83" w:rsidP="006C3A83">
      <w:pPr>
        <w:numPr>
          <w:ilvl w:val="0"/>
          <w:numId w:val="21"/>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krachtens het in Taiwan geldende territoriaal stelsel worden de natuurlijke personen (inwoners van Taiwan) in principe slechts belast naar hun inkomsten die voortkomen uit bronnen in Taiwan. Door dit stelsel toe te passen wordt dubbele belasting in principe vermeden (dit stelstel staat gelijk met een vrijstelling zonder progressievoorbehoud);</w:t>
      </w:r>
      <w:r w:rsidRPr="006C3A83">
        <w:rPr>
          <w:rFonts w:ascii="Titillium Web" w:eastAsia="Times New Roman" w:hAnsi="Titillium Web" w:cs="Times New Roman"/>
          <w:color w:val="444444"/>
          <w:sz w:val="20"/>
          <w:szCs w:val="20"/>
          <w:lang w:eastAsia="en-GB"/>
        </w:rPr>
        <w:br/>
        <w:t> </w:t>
      </w:r>
    </w:p>
    <w:p w:rsidR="006C3A83" w:rsidRPr="006C3A83" w:rsidRDefault="006C3A83" w:rsidP="006C3A83">
      <w:pPr>
        <w:numPr>
          <w:ilvl w:val="0"/>
          <w:numId w:val="21"/>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personen onderworpen aan de Taiwanese winstbelasting ("profit-seeking enterprises") worden daarentegen belast op hun wereldwijd inkomen (winsten). Wat deze belasting betreft vermijdt Taiwan dubbele belasting door toepassing van de verrekeningsmethode.</w:t>
      </w:r>
      <w:r w:rsidRPr="006C3A83">
        <w:rPr>
          <w:rFonts w:ascii="Titillium Web" w:eastAsia="Times New Roman" w:hAnsi="Titillium Web" w:cs="Times New Roman"/>
          <w:color w:val="444444"/>
          <w:sz w:val="20"/>
          <w:szCs w:val="20"/>
          <w:lang w:eastAsia="en-GB"/>
        </w:rPr>
        <w:br/>
        <w:t> </w:t>
      </w:r>
    </w:p>
    <w:p w:rsidR="006C3A83" w:rsidRPr="006C3A83" w:rsidRDefault="006C3A83" w:rsidP="006C3A83">
      <w:pPr>
        <w:numPr>
          <w:ilvl w:val="0"/>
          <w:numId w:val="21"/>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lastRenderedPageBreak/>
        <w:t>voor dividenden van Belgische oorsprong staat Taiwan de verrekening toe van Belgische bronheffing doch niet van de Belgische belasting betaald op de winst waaruit het dividend is betaald (dus geen "underlying tax credit").</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u w:val="single"/>
          <w:lang w:eastAsia="en-GB"/>
        </w:rPr>
      </w:pPr>
      <w:r w:rsidRPr="006C3A83">
        <w:rPr>
          <w:rFonts w:ascii="Titillium Web" w:eastAsia="Times New Roman" w:hAnsi="Titillium Web" w:cs="Times New Roman"/>
          <w:b/>
          <w:bCs/>
          <w:color w:val="444444"/>
          <w:sz w:val="20"/>
          <w:szCs w:val="20"/>
          <w:lang w:eastAsia="en-GB"/>
        </w:rPr>
        <w:t>VI. BIJZONDERE BEPALINGEN</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u w:val="single"/>
          <w:lang w:eastAsia="en-GB"/>
        </w:rPr>
        <w:t>Invorderingsbijstand (artikel 26)</w:t>
      </w:r>
    </w:p>
    <w:p w:rsidR="006C3A83" w:rsidRPr="006C3A83" w:rsidRDefault="006C3A83" w:rsidP="006C3A83">
      <w:pPr>
        <w:shd w:val="clear" w:color="auto" w:fill="FFFFFF"/>
        <w:spacing w:after="240" w:line="240" w:lineRule="auto"/>
        <w:rPr>
          <w:rFonts w:ascii="Titillium Web" w:eastAsia="Times New Roman" w:hAnsi="Titillium Web" w:cs="Times New Roman"/>
          <w:b/>
          <w:bCs/>
          <w:color w:val="444444"/>
          <w:sz w:val="20"/>
          <w:szCs w:val="20"/>
          <w:lang w:eastAsia="en-GB"/>
        </w:rPr>
      </w:pPr>
      <w:r w:rsidRPr="006C3A83">
        <w:rPr>
          <w:rFonts w:ascii="Titillium Web" w:eastAsia="Times New Roman" w:hAnsi="Titillium Web" w:cs="Times New Roman"/>
          <w:color w:val="444444"/>
          <w:sz w:val="20"/>
          <w:szCs w:val="20"/>
          <w:lang w:eastAsia="en-GB"/>
        </w:rPr>
        <w:t>    Het Akkoord voorziet slechts in een beperkte invorderingsbijstand. Die zal slechts verleend worden voor de invordering van inkomstenbelastingen die nodig is opdat de vrijstellingen of het verlaagde belastingtarief waartoe het Akkoord aanleiding kan geven, niet worden genoten door personen die daartoe niet gerechtigd zijn. Een soortgelijke beperkte bijstand op het vlak van de invordering is onder meer ook vastgelegd in het belastingverdrag tussen België en de Verenigde Staten van Amerika van 9 juli 1970. </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b/>
          <w:bCs/>
          <w:color w:val="444444"/>
          <w:sz w:val="20"/>
          <w:szCs w:val="20"/>
          <w:lang w:eastAsia="en-GB"/>
        </w:rPr>
        <w:t>VII. SAMENVATTENDE TABELLEN</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    Deze tabellen geven slechts een overzicht van de regels die van toepassing zijn op de verschillende categorieën van inkomsten. Tijdens het onderzoek van elk toepassingsgeval is het noodzakelijk de desbetreffende verdragsbepalingen te raadplegen. </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1. </w:t>
      </w:r>
      <w:r w:rsidRPr="006C3A83">
        <w:rPr>
          <w:rFonts w:ascii="Titillium Web" w:eastAsia="Times New Roman" w:hAnsi="Titillium Web" w:cs="Times New Roman"/>
          <w:color w:val="444444"/>
          <w:sz w:val="20"/>
          <w:szCs w:val="20"/>
          <w:u w:val="single"/>
          <w:lang w:eastAsia="en-GB"/>
        </w:rPr>
        <w:t>Belastingstelsel voor inkomsten verkregen door inwoners van België.</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p>
    <w:tbl>
      <w:tblPr>
        <w:tblW w:w="5000" w:type="pct"/>
        <w:tblBorders>
          <w:top w:val="outset" w:sz="2" w:space="0" w:color="000000"/>
          <w:left w:val="outset" w:sz="2" w:space="0" w:color="000000"/>
          <w:bottom w:val="outset" w:sz="2" w:space="0" w:color="000000"/>
          <w:right w:val="outset" w:sz="2" w:space="0" w:color="000000"/>
        </w:tblBorders>
        <w:tblCellMar>
          <w:top w:w="45" w:type="dxa"/>
          <w:left w:w="45" w:type="dxa"/>
          <w:bottom w:w="45" w:type="dxa"/>
          <w:right w:w="45" w:type="dxa"/>
        </w:tblCellMar>
        <w:tblLook w:val="04A0" w:firstRow="1" w:lastRow="0" w:firstColumn="1" w:lastColumn="0" w:noHBand="0" w:noVBand="1"/>
      </w:tblPr>
      <w:tblGrid>
        <w:gridCol w:w="1100"/>
        <w:gridCol w:w="3961"/>
        <w:gridCol w:w="1987"/>
        <w:gridCol w:w="2008"/>
      </w:tblGrid>
      <w:tr w:rsidR="006C3A83" w:rsidRPr="006C3A83" w:rsidTr="006C3A83">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b/>
                <w:bCs/>
                <w:sz w:val="24"/>
                <w:szCs w:val="24"/>
                <w:lang w:val="en-GB" w:eastAsia="en-GB"/>
              </w:rPr>
              <w:t>Artikels van het Akkoord</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b/>
                <w:bCs/>
                <w:sz w:val="24"/>
                <w:szCs w:val="24"/>
                <w:lang w:val="en-GB" w:eastAsia="en-GB"/>
              </w:rPr>
              <w:t>Aard van de inkomsten</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b/>
                <w:bCs/>
                <w:sz w:val="24"/>
                <w:szCs w:val="24"/>
                <w:lang w:val="en-GB" w:eastAsia="en-GB"/>
              </w:rPr>
              <w:t>In Taiwan</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b/>
                <w:bCs/>
                <w:sz w:val="24"/>
                <w:szCs w:val="24"/>
                <w:lang w:val="en-GB" w:eastAsia="en-GB"/>
              </w:rPr>
              <w:t>In België</w:t>
            </w:r>
            <w:r w:rsidRPr="006C3A83">
              <w:rPr>
                <w:rFonts w:ascii="Times New Roman" w:eastAsia="Times New Roman" w:hAnsi="Times New Roman" w:cs="Times New Roman"/>
                <w:b/>
                <w:bCs/>
                <w:sz w:val="24"/>
                <w:szCs w:val="24"/>
                <w:lang w:val="en-GB" w:eastAsia="en-GB"/>
              </w:rPr>
              <w:br/>
              <w:t>(artikel 22, </w:t>
            </w:r>
            <w:r w:rsidRPr="006C3A83">
              <w:rPr>
                <w:rFonts w:ascii="Times New Roman" w:eastAsia="Times New Roman" w:hAnsi="Times New Roman" w:cs="Times New Roman"/>
                <w:b/>
                <w:bCs/>
                <w:sz w:val="24"/>
                <w:szCs w:val="24"/>
                <w:lang w:val="fr-FR" w:eastAsia="en-GB"/>
              </w:rPr>
              <w:t>§ 2)</w:t>
            </w:r>
          </w:p>
        </w:tc>
      </w:tr>
      <w:tr w:rsidR="006C3A83" w:rsidRPr="006C3A83" w:rsidTr="006C3A83">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6</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Inkomsten van onroerende goederen gelegen in Taiwan</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fr-FR" w:eastAsia="en-GB"/>
              </w:rPr>
              <w:t>Vrijstelling (1)</w:t>
            </w:r>
          </w:p>
        </w:tc>
      </w:tr>
      <w:tr w:rsidR="006C3A83" w:rsidRPr="006C3A83" w:rsidTr="006C3A83">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7</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Ondernemingswinst die kan worden toegerekend aan een in Taiwan gelegen vaste inrichting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 (1)</w:t>
            </w:r>
          </w:p>
        </w:tc>
      </w:tr>
      <w:tr w:rsidR="006C3A83" w:rsidRPr="006C3A83" w:rsidTr="006C3A83">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8</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Uit Taiwan afkomstige winst van internationale transportondernemingen (zee- en luchtvaart) wier plaats van werkelijke leiding is gelegen in België</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overeenkomstig het interne recht</w:t>
            </w:r>
          </w:p>
        </w:tc>
      </w:tr>
      <w:tr w:rsidR="006C3A83" w:rsidRPr="006C3A83" w:rsidTr="006C3A83">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10</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Dividenden betaald door een Taiwanese vennootschap aan een inwoner van België</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 beperkt tot 10 % van het brutobedrag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overeenkomstig het interne recht en eventueel DBI stelsel (2)</w:t>
            </w:r>
          </w:p>
        </w:tc>
      </w:tr>
      <w:tr w:rsidR="006C3A83" w:rsidRPr="006C3A83" w:rsidTr="006C3A83">
        <w:tc>
          <w:tcPr>
            <w:tcW w:w="0" w:type="auto"/>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11</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Interest afkomstig uit Taiwan (algemene regel).</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 beperkt tot 10% van het niet bovenmatige brutobedrag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en toekenning van het F.B.B. overeenkomstig het interne recht</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24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Interbancaire interest betaald aan Belgische banken.</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overeenkomstig het interne recht</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Interest betaald in het kader van het bevorderen van de uitvoer.</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Belastinghefing overeenkomstig het interne recht</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Interesten betaald aan de Belgische Staat of aan één van zijn staatkundige onderdelen of lokale gemeenschappen, of aan de Nationale Bank van België.</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overeenkomstig het interne recht</w:t>
            </w:r>
          </w:p>
        </w:tc>
      </w:tr>
      <w:tr w:rsidR="006C3A83" w:rsidRPr="006C3A83" w:rsidTr="006C3A83">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12</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Royalty's afkomstig uit Taiwan</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24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 beperkt tot</w:t>
            </w:r>
          </w:p>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10% van het niet bovenmatige brutobedrag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en toekenning van het F.B.B. overeenkomstig het interne recht</w:t>
            </w:r>
          </w:p>
        </w:tc>
      </w:tr>
      <w:tr w:rsidR="006C3A83" w:rsidRPr="006C3A83" w:rsidTr="006C3A83">
        <w:tc>
          <w:tcPr>
            <w:tcW w:w="0" w:type="auto"/>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13</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24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Meerwaarden verwezenlijkt op:</w:t>
            </w:r>
          </w:p>
          <w:p w:rsidR="006C3A83" w:rsidRPr="006C3A83" w:rsidRDefault="006C3A83" w:rsidP="006C3A83">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onroerende goederen gelegen in Taiwan;</w:t>
            </w:r>
          </w:p>
          <w:p w:rsidR="006C3A83" w:rsidRPr="006C3A83" w:rsidRDefault="006C3A83" w:rsidP="006C3A83">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roerende goederen die deel uitmaken van een vaste inrichting of een vaste basis gelegen in Taiwan;</w:t>
            </w:r>
          </w:p>
          <w:p w:rsidR="006C3A83" w:rsidRPr="006C3A83" w:rsidRDefault="006C3A83" w:rsidP="006C3A83">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een vaste inrichting of een vaste basis gevestigd in Taiwan.</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overeenkomstig het Taiwanees intern recht</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 (1)</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Meerwaarden verwezenlijkt in Taiwan op schepen en luchtvaartuigen die in internationaal verkeer worden gebruikt, of op roerende goederen gebruikt bij deze exploitatie, door een onderneming wier plaats van werkelijke leiding is gelegen in België.</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overeenkomstig het interne recht</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Meerwaarden verwezenlijkt in Taiwan op elk ander goed.</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 </w:t>
            </w:r>
          </w:p>
        </w:tc>
      </w:tr>
      <w:tr w:rsidR="006C3A83" w:rsidRPr="006C3A83" w:rsidTr="006C3A83">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14</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Inkomsten uit zelfstandige beroepen die kunnen worden toegerekend aan een in Taiwan gelegen vaste basis of die worden verkregen in het kader van een verblijf van minstens 183 dagen in Taiwan.</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240" w:line="240" w:lineRule="auto"/>
              <w:rPr>
                <w:rFonts w:ascii="Times New Roman" w:eastAsia="Times New Roman" w:hAnsi="Times New Roman" w:cs="Times New Roman"/>
                <w:b/>
                <w:bCs/>
                <w:sz w:val="24"/>
                <w:szCs w:val="24"/>
                <w:u w:val="single"/>
                <w:lang w:val="en-GB" w:eastAsia="en-GB"/>
              </w:rPr>
            </w:pPr>
            <w:r w:rsidRPr="006C3A83">
              <w:rPr>
                <w:rFonts w:ascii="Times New Roman" w:eastAsia="Times New Roman" w:hAnsi="Times New Roman" w:cs="Times New Roman"/>
                <w:sz w:val="24"/>
                <w:szCs w:val="24"/>
                <w:lang w:val="en-GB" w:eastAsia="en-GB"/>
              </w:rPr>
              <w:t>Belastingheffing </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 (1)</w:t>
            </w:r>
          </w:p>
        </w:tc>
      </w:tr>
      <w:tr w:rsidR="006C3A83" w:rsidRPr="006C3A83" w:rsidTr="006C3A83">
        <w:tc>
          <w:tcPr>
            <w:tcW w:w="0" w:type="auto"/>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15</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Algemene regel voor beloningen die betrekking hebben op niet-zelfstandige werkzaamheden uitgeoefend in Taiwan.</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 (1)</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Beloningen voor een verblijf in Taiwan van maximum 183 dagen, en die niet worden betaald door of namens een Taiwanese werkgever of gedragen door een in Taiwan gelegen vaste inrichting of vaste basis.</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overeenkomstig het interne recht</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 xml:space="preserve">Beloningen voor een dienstbetrekking uitgeoefend aan boord van een schip of </w:t>
            </w:r>
            <w:r w:rsidRPr="006C3A83">
              <w:rPr>
                <w:rFonts w:ascii="Times New Roman" w:eastAsia="Times New Roman" w:hAnsi="Times New Roman" w:cs="Times New Roman"/>
                <w:sz w:val="24"/>
                <w:szCs w:val="24"/>
                <w:lang w:eastAsia="en-GB"/>
              </w:rPr>
              <w:lastRenderedPageBreak/>
              <w:t>luchtvaartuig dat wordt geëxploiteerd in internationaal verkeer door een onderneming wier plaats van werkelijke leiding is gelegen in Taiwan.</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lastRenderedPageBreak/>
              <w:t>Belastingheffing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 (1)</w:t>
            </w:r>
          </w:p>
        </w:tc>
      </w:tr>
      <w:tr w:rsidR="006C3A83" w:rsidRPr="006C3A83" w:rsidTr="006C3A83">
        <w:tc>
          <w:tcPr>
            <w:tcW w:w="0" w:type="auto"/>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16</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Tantièmes, presentiegelden of andere soortgelijke vergoedingen van bestuurders van een Taiwanese vennootschap, of beloningen van soortgelijke aard.</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 (1)</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Beloningen voor dagelijkse werkzaamheden van leidinggevende, technische aard, commerciële of financiële aard uitgeoefend door bestuurders van Taiwanese vennootschappen en beloningen voor dagelijkse werkzaamheden van vennoten van Taiwanese personenvennootschappen.</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Cf. artikel 15</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Cf. artikel 15</w:t>
            </w:r>
          </w:p>
        </w:tc>
      </w:tr>
      <w:tr w:rsidR="006C3A83" w:rsidRPr="006C3A83" w:rsidTr="006C3A83">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17</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Inkomsten uit persoonlijke werkzaamheden die artiesten en sportbeoefenaars in Taiwan verrichten.</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 (1)</w:t>
            </w:r>
          </w:p>
        </w:tc>
      </w:tr>
      <w:tr w:rsidR="006C3A83" w:rsidRPr="006C3A83" w:rsidTr="006C3A83">
        <w:tc>
          <w:tcPr>
            <w:tcW w:w="0" w:type="auto"/>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18</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Uit Taiwan afkomstige pensioenen en lijfrenten voortvloeiend uit een vroegere dienstbetrekking.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 (1)</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Pensioenen betaald in uitvoering van de Taiwanese sociale wetgeving of in het kader van een algemeen stelsel georganiseerd door Taiwan ter aanvulling van de voordelen van de sociale wetgeving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 (1)</w:t>
            </w:r>
          </w:p>
        </w:tc>
      </w:tr>
      <w:tr w:rsidR="006C3A83" w:rsidRPr="006C3A83" w:rsidTr="006C3A83">
        <w:tc>
          <w:tcPr>
            <w:tcW w:w="0" w:type="auto"/>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19</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Algemene regel voor overheidsbeloningen van Taiwanese oorsprong die worden betaald aan een inwoner van België</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 (1)</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24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Overheidsbeloningen van Taiwanese oorsprong die worden betaald ter zake van diensten bewezen in Belgiëaan een inwoner van België die</w:t>
            </w:r>
          </w:p>
          <w:p w:rsidR="006C3A83" w:rsidRPr="006C3A83" w:rsidRDefault="006C3A83" w:rsidP="006C3A83">
            <w:pPr>
              <w:numPr>
                <w:ilvl w:val="0"/>
                <w:numId w:val="23"/>
              </w:numPr>
              <w:spacing w:before="100" w:beforeAutospacing="1" w:after="100" w:afterAutospacing="1"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Belgisch onderdaan is OF</w:t>
            </w:r>
          </w:p>
          <w:p w:rsidR="006C3A83" w:rsidRPr="006C3A83" w:rsidRDefault="006C3A83" w:rsidP="006C3A83">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niet uitsluitend met het oog op het verrichten van deze diensten inwoner van België is geworden</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overeenkomstig het interne recht</w:t>
            </w:r>
          </w:p>
        </w:tc>
      </w:tr>
      <w:tr w:rsidR="006C3A83" w:rsidRPr="006C3A83" w:rsidTr="006C3A83">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20</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 xml:space="preserve">Niet uit Taiwan afkomstige inkomsten verkregen door een student, leerling of stagiair die inwoner is (was) van </w:t>
            </w:r>
            <w:r w:rsidRPr="006C3A83">
              <w:rPr>
                <w:rFonts w:ascii="Times New Roman" w:eastAsia="Times New Roman" w:hAnsi="Times New Roman" w:cs="Times New Roman"/>
                <w:sz w:val="24"/>
                <w:szCs w:val="24"/>
                <w:lang w:eastAsia="en-GB"/>
              </w:rPr>
              <w:lastRenderedPageBreak/>
              <w:t>België,ten behoeve van zijn onderhoud, studie of opleiding in Taiwan</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lastRenderedPageBreak/>
              <w:t>Vrijstelling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overeenkomstig het interne recht</w:t>
            </w:r>
          </w:p>
        </w:tc>
      </w:tr>
      <w:tr w:rsidR="006C3A83" w:rsidRPr="006C3A83" w:rsidTr="006C3A83">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21</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Alle andere inkomsten van Taiwanese oorsprong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 (1)</w:t>
            </w:r>
          </w:p>
        </w:tc>
      </w:tr>
    </w:tbl>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val="en-GB" w:eastAsia="en-GB"/>
        </w:rPr>
      </w:pP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(1) Vrijstelling met progressievoorbehoud: België houdt rekening met de vrijgestelde inkomsten om het belastingtarief met betrekking tot de in België belastbare inkomsten vast te stellen. De vrijstelling wordt evenwel slechts verleend op voorwaarde dat de desbetreffende inkomsten belastbaar zijn overeenkomstig de wetgeving van Taiwan en dat ze aldaar niet van belasting zijn vrijgesteld.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(2) Het DBI stelsel wordt verleend onder de voorwaarden en beperkingen voorzien in de Belgische wetgeving. </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eastAsia="en-GB"/>
        </w:rPr>
      </w:pPr>
      <w:r w:rsidRPr="006C3A83">
        <w:rPr>
          <w:rFonts w:ascii="Titillium Web" w:eastAsia="Times New Roman" w:hAnsi="Titillium Web" w:cs="Times New Roman"/>
          <w:color w:val="444444"/>
          <w:sz w:val="20"/>
          <w:szCs w:val="20"/>
          <w:lang w:eastAsia="en-GB"/>
        </w:rPr>
        <w:t>2. </w:t>
      </w:r>
      <w:r w:rsidRPr="006C3A83">
        <w:rPr>
          <w:rFonts w:ascii="Titillium Web" w:eastAsia="Times New Roman" w:hAnsi="Titillium Web" w:cs="Times New Roman"/>
          <w:color w:val="444444"/>
          <w:sz w:val="20"/>
          <w:szCs w:val="20"/>
          <w:u w:val="single"/>
          <w:lang w:eastAsia="en-GB"/>
        </w:rPr>
        <w:t>Belastingstelsel voor inkomsten verkregen door inwoners van Taiwan.</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eastAsia="en-GB"/>
        </w:rPr>
      </w:pPr>
    </w:p>
    <w:tbl>
      <w:tblPr>
        <w:tblW w:w="5000" w:type="pct"/>
        <w:tblBorders>
          <w:top w:val="outset" w:sz="2" w:space="0" w:color="000000"/>
          <w:left w:val="outset" w:sz="2" w:space="0" w:color="000000"/>
          <w:bottom w:val="outset" w:sz="2" w:space="0" w:color="000000"/>
          <w:right w:val="outset" w:sz="2" w:space="0" w:color="000000"/>
        </w:tblBorders>
        <w:tblCellMar>
          <w:top w:w="45" w:type="dxa"/>
          <w:left w:w="45" w:type="dxa"/>
          <w:bottom w:w="45" w:type="dxa"/>
          <w:right w:w="45" w:type="dxa"/>
        </w:tblCellMar>
        <w:tblLook w:val="04A0" w:firstRow="1" w:lastRow="0" w:firstColumn="1" w:lastColumn="0" w:noHBand="0" w:noVBand="1"/>
      </w:tblPr>
      <w:tblGrid>
        <w:gridCol w:w="1449"/>
        <w:gridCol w:w="3894"/>
        <w:gridCol w:w="1992"/>
        <w:gridCol w:w="1721"/>
      </w:tblGrid>
      <w:tr w:rsidR="006C3A83" w:rsidRPr="006C3A83" w:rsidTr="006C3A83">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b/>
                <w:bCs/>
                <w:sz w:val="24"/>
                <w:szCs w:val="24"/>
                <w:lang w:val="en-GB" w:eastAsia="en-GB"/>
              </w:rPr>
              <w:t>Artikels van het Akkoord</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b/>
                <w:bCs/>
                <w:sz w:val="24"/>
                <w:szCs w:val="24"/>
                <w:lang w:val="en-GB" w:eastAsia="en-GB"/>
              </w:rPr>
              <w:t>Aard van de inkomsten</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b/>
                <w:bCs/>
                <w:sz w:val="24"/>
                <w:szCs w:val="24"/>
                <w:lang w:val="en-GB" w:eastAsia="en-GB"/>
              </w:rPr>
              <w:t>In België</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b/>
                <w:bCs/>
                <w:sz w:val="24"/>
                <w:szCs w:val="24"/>
                <w:lang w:val="en-GB" w:eastAsia="en-GB"/>
              </w:rPr>
            </w:pPr>
            <w:r w:rsidRPr="006C3A83">
              <w:rPr>
                <w:rFonts w:ascii="Times New Roman" w:eastAsia="Times New Roman" w:hAnsi="Times New Roman" w:cs="Times New Roman"/>
                <w:b/>
                <w:bCs/>
                <w:sz w:val="24"/>
                <w:szCs w:val="24"/>
                <w:u w:val="single"/>
                <w:lang w:val="en-GB" w:eastAsia="en-GB"/>
              </w:rPr>
              <w:t>In Taiwan</w:t>
            </w:r>
          </w:p>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b/>
                <w:bCs/>
                <w:sz w:val="24"/>
                <w:szCs w:val="24"/>
                <w:lang w:val="en-GB" w:eastAsia="en-GB"/>
              </w:rPr>
              <w:t>(artikel 22, § 1)</w:t>
            </w:r>
          </w:p>
        </w:tc>
      </w:tr>
      <w:tr w:rsidR="006C3A83" w:rsidRPr="006C3A83" w:rsidTr="006C3A83">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6</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Inkomsten van onroerende goederen gelegen in België</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overeenkomstig het interne recht</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en verrekening van de Belgische belasting (1)</w:t>
            </w:r>
          </w:p>
        </w:tc>
      </w:tr>
      <w:tr w:rsidR="006C3A83" w:rsidRPr="006C3A83" w:rsidTr="006C3A83">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7</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Ondernemingswinst die kan worden toegerekend aan een in België gelegen vaste inrichting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overeenkomstig het interne recht</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240" w:line="240" w:lineRule="auto"/>
              <w:rPr>
                <w:rFonts w:ascii="Times New Roman" w:eastAsia="Times New Roman" w:hAnsi="Times New Roman" w:cs="Times New Roman"/>
                <w:sz w:val="24"/>
                <w:szCs w:val="24"/>
                <w:u w:val="single"/>
                <w:lang w:eastAsia="en-GB"/>
              </w:rPr>
            </w:pPr>
            <w:r w:rsidRPr="006C3A83">
              <w:rPr>
                <w:rFonts w:ascii="Times New Roman" w:eastAsia="Times New Roman" w:hAnsi="Times New Roman" w:cs="Times New Roman"/>
                <w:sz w:val="24"/>
                <w:szCs w:val="24"/>
                <w:lang w:eastAsia="en-GB"/>
              </w:rPr>
              <w:t>Belastingheffing en verrekening van de Belgische belasting (1)</w:t>
            </w:r>
          </w:p>
        </w:tc>
      </w:tr>
      <w:tr w:rsidR="006C3A83" w:rsidRPr="006C3A83" w:rsidTr="006C3A83">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8</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Uit België afkomstige winst van internationale transportondernemingen(zee- en luchtvaart) wier plaats van werkelijke leiding is gelegen in Taiwan</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overeen-komstig het interne recht (1)</w:t>
            </w:r>
          </w:p>
        </w:tc>
      </w:tr>
      <w:tr w:rsidR="006C3A83" w:rsidRPr="006C3A83" w:rsidTr="006C3A83">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10</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Dividenden betaald door een Belgische vennootschap aan een inwoner van Taiwan</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 beperkt tot 10 % van het brutobedrag</w:t>
            </w:r>
          </w:p>
        </w:tc>
        <w:tc>
          <w:tcPr>
            <w:tcW w:w="0" w:type="auto"/>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en verrekening van de Belgische bronheffing (1)</w:t>
            </w:r>
          </w:p>
        </w:tc>
      </w:tr>
      <w:tr w:rsidR="006C3A83" w:rsidRPr="006C3A83" w:rsidTr="006C3A83">
        <w:tc>
          <w:tcPr>
            <w:tcW w:w="750" w:type="pct"/>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11</w:t>
            </w: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Interest afkomstig uit België (algemene regel)</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 beperkt tot 10% van het niet bovenmatige brutobedrag</w:t>
            </w:r>
          </w:p>
        </w:tc>
        <w:tc>
          <w:tcPr>
            <w:tcW w:w="10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en verrekening van de Belgische bronheffing (1)</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Interbancaire interest betaald aan Taiwanese banken.</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10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 xml:space="preserve">Belastingheffing en verrekening van de </w:t>
            </w:r>
            <w:r w:rsidRPr="006C3A83">
              <w:rPr>
                <w:rFonts w:ascii="Times New Roman" w:eastAsia="Times New Roman" w:hAnsi="Times New Roman" w:cs="Times New Roman"/>
                <w:sz w:val="24"/>
                <w:szCs w:val="24"/>
                <w:lang w:eastAsia="en-GB"/>
              </w:rPr>
              <w:lastRenderedPageBreak/>
              <w:t>Belgische bronheffing (1)</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Interest betaald in het kader van het bevorderen van de uitvoer.</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10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en verrekening van de Belgische bronheffing (1)</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Interesten betaald aan een openbaar lichaam van Taiwan of aan de Taiwanese centrale bank.</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10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en verrekening van de Belgische bronheffing (1)</w:t>
            </w:r>
          </w:p>
        </w:tc>
      </w:tr>
      <w:tr w:rsidR="006C3A83" w:rsidRPr="006C3A83" w:rsidTr="006C3A83">
        <w:tc>
          <w:tcPr>
            <w:tcW w:w="750" w:type="pc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12</w:t>
            </w: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Royalty's afkomstig uit België</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 beperkt tot 10% van het niet bovenmatige brutobedrag</w:t>
            </w:r>
          </w:p>
        </w:tc>
        <w:tc>
          <w:tcPr>
            <w:tcW w:w="10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en verrekening van de Belgische bronheffing (1)</w:t>
            </w:r>
          </w:p>
        </w:tc>
      </w:tr>
      <w:tr w:rsidR="006C3A83" w:rsidRPr="006C3A83" w:rsidTr="006C3A83">
        <w:tc>
          <w:tcPr>
            <w:tcW w:w="800" w:type="pct"/>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13</w:t>
            </w: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24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Meerwaarden verwezenlijkt op:</w:t>
            </w:r>
          </w:p>
          <w:p w:rsidR="006C3A83" w:rsidRPr="006C3A83" w:rsidRDefault="006C3A83" w:rsidP="006C3A83">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onroerende goederen gelegen in België;</w:t>
            </w:r>
          </w:p>
          <w:p w:rsidR="006C3A83" w:rsidRPr="006C3A83" w:rsidRDefault="006C3A83" w:rsidP="006C3A83">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roerende goederen die deel uitmaken van een vaste inrichting of een vaste basis gelegen in België;</w:t>
            </w:r>
          </w:p>
          <w:p w:rsidR="006C3A83" w:rsidRPr="006C3A83" w:rsidRDefault="006C3A83" w:rsidP="006C3A83">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een vaste inrichting of een vaste basis gevestigd in België.</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overeenkomstig het interne recht</w:t>
            </w:r>
          </w:p>
        </w:tc>
        <w:tc>
          <w:tcPr>
            <w:tcW w:w="9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en verrekening van de Belgische belasting (1)</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Meerwaarden verwezenlijkt in België op schepen en luchtvaartuigen die in internationaal verkeer worden gebruikt, of op roerende goederen gebruikt bij deze exploitatie, door een onderneming wier plaats van werkelijke leiding is gelegen in Taiwan</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9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overeen-komstig het interne recht (1)</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Meerwaarden verwezenlijkt in België op elk ander goed.</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9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overeen-komstig het interne recht (1)</w:t>
            </w:r>
          </w:p>
        </w:tc>
      </w:tr>
      <w:tr w:rsidR="006C3A83" w:rsidRPr="006C3A83" w:rsidTr="006C3A83">
        <w:tc>
          <w:tcPr>
            <w:tcW w:w="800" w:type="pc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14</w:t>
            </w: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Inkomsten uit zelfstandige beroepen die kunnen worden toegerekend aan een in België gelegen vaste basis of die worden verkregen in het kader van een verblijf van minstens 183 dagen in Taiwan</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9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Belasting-heffing en verrekening van de Belgische belasting (1)</w:t>
            </w:r>
          </w:p>
        </w:tc>
      </w:tr>
      <w:tr w:rsidR="006C3A83" w:rsidRPr="006C3A83" w:rsidTr="006C3A83">
        <w:tc>
          <w:tcPr>
            <w:tcW w:w="800" w:type="pct"/>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lastRenderedPageBreak/>
              <w:t>artikel 15</w:t>
            </w: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eastAsia="en-GB"/>
              </w:rPr>
            </w:pPr>
            <w:r w:rsidRPr="006C3A83">
              <w:rPr>
                <w:rFonts w:ascii="Times New Roman" w:eastAsia="Times New Roman" w:hAnsi="Times New Roman" w:cs="Times New Roman"/>
                <w:sz w:val="24"/>
                <w:szCs w:val="24"/>
                <w:lang w:eastAsia="en-GB"/>
              </w:rPr>
              <w:t>Algemene regel voor beloningen ter zake van niet-zelfstandige werkzaamheden uitgeoefend in België.</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9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 en verrekening van de Belgische belasting (1)</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Beloningen voor een verblijf in België van maximum 183 dagen, en die niet worden betaald door of namens een Belgische werkgever of gedragen door een in België gelegen vaste inrichting of vaste basis.</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9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 overeen-komstig het interne recht (1)</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Beloningen voor een dienstbetrekking uitgeoefend aan boord van een schip of luchtvaartuig dat wordt geëxploiteerd in internationaal verkeer door een onderneming wier plaats van werkelijke leiding is gelegen in België.</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9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 en verrekening van de Belgische belasting (1)</w:t>
            </w:r>
          </w:p>
        </w:tc>
      </w:tr>
      <w:tr w:rsidR="006C3A83" w:rsidRPr="006C3A83" w:rsidTr="006C3A83">
        <w:tc>
          <w:tcPr>
            <w:tcW w:w="750" w:type="pct"/>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16</w:t>
            </w: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Tantièmes, presentiegelden of andere soortgelijke vergoedingen van bestuurders van een Belgische vennootschap, of beloningen van soortgelijke aard.</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10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 en verrekening van Belgische belasting (1)</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Beloningen voor dagelijkse werkzaamheden van leidinggevende, technische aard, commerciële of financiële aard uitgeoefend door bestuurders van Belgische vennootschappen en beloningen voor dagelijkse werkzaamheden van vennoten van Belgische personenvennootschappen.</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cf. artikel 15</w:t>
            </w:r>
          </w:p>
        </w:tc>
        <w:tc>
          <w:tcPr>
            <w:tcW w:w="10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cf. artikel 15</w:t>
            </w:r>
          </w:p>
        </w:tc>
      </w:tr>
      <w:tr w:rsidR="006C3A83" w:rsidRPr="006C3A83" w:rsidTr="006C3A83">
        <w:tc>
          <w:tcPr>
            <w:tcW w:w="750" w:type="pc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17</w:t>
            </w: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Inkomsten uit persoonlijke werkzaamheden die artiesten en sportbeoefenaars in België verrichten.</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10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 en verrekening van Belgische belasting (1)</w:t>
            </w:r>
          </w:p>
        </w:tc>
      </w:tr>
      <w:tr w:rsidR="006C3A83" w:rsidRPr="006C3A83" w:rsidTr="006C3A83">
        <w:tc>
          <w:tcPr>
            <w:tcW w:w="750" w:type="pct"/>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18</w:t>
            </w: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Uit België afkomstige pensioenen en lijfrenten voortvloeiend uit een vroegere dienstbetrekking</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10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 en verrekening van Belgische belasting (1)</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p>
        </w:tc>
        <w:tc>
          <w:tcPr>
            <w:tcW w:w="215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Pensioenen betaald in uitvoering van de Belgische sociale wetgeving of in het kader van een algemeen stelsel georganiseerd door België ter aanvulling van de voordelen van de sociale wetgeving</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10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 en verrekening van Belgische belasting (1)</w:t>
            </w:r>
          </w:p>
        </w:tc>
      </w:tr>
      <w:tr w:rsidR="006C3A83" w:rsidRPr="006C3A83" w:rsidTr="006C3A83">
        <w:tc>
          <w:tcPr>
            <w:tcW w:w="750" w:type="pct"/>
            <w:vMerge w:val="restar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lastRenderedPageBreak/>
              <w:t>artikel 19</w:t>
            </w:r>
          </w:p>
        </w:tc>
        <w:tc>
          <w:tcPr>
            <w:tcW w:w="2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Algemene regel voor overheidsbeloningen van Belgische oorsprong die worden betaald aan een inwoner van Taiwan.</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 en verrekening van Belgische belasting (1)</w:t>
            </w:r>
          </w:p>
        </w:tc>
      </w:tr>
      <w:tr w:rsidR="006C3A83" w:rsidRPr="006C3A83" w:rsidTr="006C3A8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p>
        </w:tc>
        <w:tc>
          <w:tcPr>
            <w:tcW w:w="2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24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Overheidsbeloningen van Belgische oorsprong die worden betaald ter zake van diensten bewezen in Taiwan aan een inwoner van Taiwan die:</w:t>
            </w:r>
          </w:p>
          <w:p w:rsidR="006C3A83" w:rsidRPr="006C3A83" w:rsidRDefault="006C3A83" w:rsidP="006C3A83">
            <w:pPr>
              <w:numPr>
                <w:ilvl w:val="0"/>
                <w:numId w:val="25"/>
              </w:numPr>
              <w:spacing w:before="100" w:beforeAutospacing="1" w:after="100" w:afterAutospacing="1"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onderdaan is van Taiwan OF</w:t>
            </w:r>
          </w:p>
          <w:p w:rsidR="006C3A83" w:rsidRPr="006C3A83" w:rsidRDefault="006C3A83" w:rsidP="006C3A83">
            <w:pPr>
              <w:numPr>
                <w:ilvl w:val="0"/>
                <w:numId w:val="25"/>
              </w:numPr>
              <w:spacing w:before="100" w:beforeAutospacing="1" w:after="100" w:afterAutospacing="1"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niet uitsluitend met het oog op het verrichtingen van deze diensten inwoner van Taiwan is geworden</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 overeenkomstig het interne recht (1)</w:t>
            </w:r>
          </w:p>
        </w:tc>
      </w:tr>
      <w:tr w:rsidR="006C3A83" w:rsidRPr="006C3A83" w:rsidTr="006C3A83">
        <w:tc>
          <w:tcPr>
            <w:tcW w:w="750" w:type="pc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20</w:t>
            </w:r>
          </w:p>
        </w:tc>
        <w:tc>
          <w:tcPr>
            <w:tcW w:w="2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Niet uit België afkomstige inkomsten verkregen door een student, leerling of stagiair die inwoner is (was) van Taiwan, ten behoeve van zijn onderhoud, studie of opleiding in België</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Vrijstelling</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24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 </w:t>
            </w:r>
          </w:p>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overeen-komstig het interne recht (1)</w:t>
            </w:r>
          </w:p>
        </w:tc>
      </w:tr>
      <w:tr w:rsidR="006C3A83" w:rsidRPr="006C3A83" w:rsidTr="006C3A83">
        <w:tc>
          <w:tcPr>
            <w:tcW w:w="750" w:type="pct"/>
            <w:tcBorders>
              <w:top w:val="outset" w:sz="6" w:space="0" w:color="000000"/>
              <w:left w:val="outset" w:sz="6" w:space="0" w:color="000000"/>
              <w:bottom w:val="outset" w:sz="6" w:space="0" w:color="000000"/>
              <w:right w:val="outset" w:sz="6" w:space="0" w:color="000000"/>
            </w:tcBorders>
            <w:shd w:val="clear" w:color="auto" w:fill="C0C0C0"/>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artikel 21</w:t>
            </w:r>
          </w:p>
        </w:tc>
        <w:tc>
          <w:tcPr>
            <w:tcW w:w="2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Alle andere inkomsten van Belgische oorsprong</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w:t>
            </w:r>
          </w:p>
        </w:tc>
        <w:tc>
          <w:tcPr>
            <w:tcW w:w="1100" w:type="pct"/>
            <w:tcBorders>
              <w:top w:val="outset" w:sz="6" w:space="0" w:color="000000"/>
              <w:left w:val="outset" w:sz="6" w:space="0" w:color="000000"/>
              <w:bottom w:val="outset" w:sz="6" w:space="0" w:color="000000"/>
              <w:right w:val="outset" w:sz="6" w:space="0" w:color="000000"/>
            </w:tcBorders>
            <w:hideMark/>
          </w:tcPr>
          <w:p w:rsidR="006C3A83" w:rsidRPr="006C3A83" w:rsidRDefault="006C3A83" w:rsidP="006C3A83">
            <w:pPr>
              <w:spacing w:after="0" w:line="240" w:lineRule="auto"/>
              <w:rPr>
                <w:rFonts w:ascii="Times New Roman" w:eastAsia="Times New Roman" w:hAnsi="Times New Roman" w:cs="Times New Roman"/>
                <w:sz w:val="24"/>
                <w:szCs w:val="24"/>
                <w:lang w:val="en-GB" w:eastAsia="en-GB"/>
              </w:rPr>
            </w:pPr>
            <w:r w:rsidRPr="006C3A83">
              <w:rPr>
                <w:rFonts w:ascii="Times New Roman" w:eastAsia="Times New Roman" w:hAnsi="Times New Roman" w:cs="Times New Roman"/>
                <w:sz w:val="24"/>
                <w:szCs w:val="24"/>
                <w:lang w:val="en-GB" w:eastAsia="en-GB"/>
              </w:rPr>
              <w:t>Belasting-heffing en verrekening van Belgische belasting (1)</w:t>
            </w:r>
          </w:p>
        </w:tc>
      </w:tr>
    </w:tbl>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val="en-GB" w:eastAsia="en-GB"/>
        </w:rPr>
      </w:pP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val="en-GB" w:eastAsia="en-GB"/>
        </w:rPr>
      </w:pPr>
      <w:r w:rsidRPr="006C3A83">
        <w:rPr>
          <w:rFonts w:ascii="Titillium Web" w:eastAsia="Times New Roman" w:hAnsi="Titillium Web" w:cs="Times New Roman"/>
          <w:color w:val="444444"/>
          <w:sz w:val="20"/>
          <w:szCs w:val="20"/>
          <w:lang w:val="en-GB" w:eastAsia="en-GB"/>
        </w:rPr>
        <w:t>(1) De aandacht wordt nogmaals erop gevestigd dat inwoners/natuurlijke personen van Taiwan in principe ingevolge het territorialiteitsprincipe slechts belastbaar zijn op hun inkomsten uit bronnen in Taiwan. Inwoners van Taiwan die aan de Taiwanese winstbelasting zijn onderworpen, zijn echter op hun wereldwijd (en dus ook Belgische) inkomen belastbaar.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val="en-GB" w:eastAsia="en-GB"/>
        </w:rPr>
      </w:pPr>
      <w:r w:rsidRPr="006C3A83">
        <w:rPr>
          <w:rFonts w:ascii="Titillium Web" w:eastAsia="Times New Roman" w:hAnsi="Titillium Web" w:cs="Times New Roman"/>
          <w:color w:val="444444"/>
          <w:sz w:val="20"/>
          <w:szCs w:val="20"/>
          <w:lang w:val="en-GB" w:eastAsia="en-GB"/>
        </w:rPr>
        <w:t>  </w:t>
      </w:r>
    </w:p>
    <w:p w:rsidR="006C3A83" w:rsidRPr="006C3A83" w:rsidRDefault="006C3A83" w:rsidP="006C3A83">
      <w:pPr>
        <w:shd w:val="clear" w:color="auto" w:fill="FFFFFF"/>
        <w:spacing w:after="240" w:line="240" w:lineRule="auto"/>
        <w:rPr>
          <w:rFonts w:ascii="Titillium Web" w:eastAsia="Times New Roman" w:hAnsi="Titillium Web" w:cs="Times New Roman"/>
          <w:color w:val="444444"/>
          <w:sz w:val="20"/>
          <w:szCs w:val="20"/>
          <w:lang w:val="en-GB" w:eastAsia="en-GB"/>
        </w:rPr>
      </w:pPr>
      <w:r w:rsidRPr="006C3A83">
        <w:rPr>
          <w:rFonts w:ascii="Titillium Web" w:eastAsia="Times New Roman" w:hAnsi="Titillium Web" w:cs="Times New Roman"/>
          <w:color w:val="444444"/>
          <w:sz w:val="20"/>
          <w:szCs w:val="20"/>
          <w:lang w:val="en-GB" w:eastAsia="en-GB"/>
        </w:rPr>
        <w:t>NAMENS DE MINISTER: </w:t>
      </w:r>
      <w:r w:rsidRPr="006C3A83">
        <w:rPr>
          <w:rFonts w:ascii="Titillium Web" w:eastAsia="Times New Roman" w:hAnsi="Titillium Web" w:cs="Times New Roman"/>
          <w:color w:val="444444"/>
          <w:sz w:val="20"/>
          <w:szCs w:val="20"/>
          <w:lang w:val="en-GB" w:eastAsia="en-GB"/>
        </w:rPr>
        <w:br/>
        <w:t>De adjunct-administrateur-generaal, </w:t>
      </w:r>
    </w:p>
    <w:p w:rsidR="006C3A83" w:rsidRPr="006C3A83" w:rsidRDefault="006C3A83" w:rsidP="006C3A83">
      <w:pPr>
        <w:shd w:val="clear" w:color="auto" w:fill="FFFFFF"/>
        <w:spacing w:after="0" w:line="240" w:lineRule="auto"/>
        <w:rPr>
          <w:rFonts w:ascii="Titillium Web" w:eastAsia="Times New Roman" w:hAnsi="Titillium Web" w:cs="Times New Roman"/>
          <w:color w:val="444444"/>
          <w:sz w:val="20"/>
          <w:szCs w:val="20"/>
          <w:lang w:val="en-GB" w:eastAsia="en-GB"/>
        </w:rPr>
      </w:pPr>
      <w:r w:rsidRPr="006C3A83">
        <w:rPr>
          <w:rFonts w:ascii="Titillium Web" w:eastAsia="Times New Roman" w:hAnsi="Titillium Web" w:cs="Times New Roman"/>
          <w:color w:val="444444"/>
          <w:sz w:val="20"/>
          <w:szCs w:val="20"/>
          <w:lang w:val="en-GB" w:eastAsia="en-GB"/>
        </w:rPr>
        <w:t>Paul NECKEBROECK </w:t>
      </w:r>
    </w:p>
    <w:p w:rsidR="0006612D" w:rsidRPr="0006612D" w:rsidRDefault="0006612D" w:rsidP="006C3A83">
      <w:bookmarkStart w:id="1" w:name="_GoBack"/>
      <w:bookmarkEnd w:id="1"/>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8"/>
  </w:num>
  <w:num w:numId="4">
    <w:abstractNumId w:val="22"/>
  </w:num>
  <w:num w:numId="5">
    <w:abstractNumId w:val="3"/>
  </w:num>
  <w:num w:numId="6">
    <w:abstractNumId w:val="4"/>
  </w:num>
  <w:num w:numId="7">
    <w:abstractNumId w:val="23"/>
  </w:num>
  <w:num w:numId="8">
    <w:abstractNumId w:val="18"/>
  </w:num>
  <w:num w:numId="9">
    <w:abstractNumId w:val="9"/>
  </w:num>
  <w:num w:numId="10">
    <w:abstractNumId w:val="6"/>
  </w:num>
  <w:num w:numId="11">
    <w:abstractNumId w:val="21"/>
  </w:num>
  <w:num w:numId="12">
    <w:abstractNumId w:val="11"/>
  </w:num>
  <w:num w:numId="13">
    <w:abstractNumId w:val="24"/>
  </w:num>
  <w:num w:numId="14">
    <w:abstractNumId w:val="13"/>
  </w:num>
  <w:num w:numId="15">
    <w:abstractNumId w:val="10"/>
  </w:num>
  <w:num w:numId="16">
    <w:abstractNumId w:val="5"/>
  </w:num>
  <w:num w:numId="17">
    <w:abstractNumId w:val="2"/>
  </w:num>
  <w:num w:numId="18">
    <w:abstractNumId w:val="7"/>
  </w:num>
  <w:num w:numId="19">
    <w:abstractNumId w:val="20"/>
  </w:num>
  <w:num w:numId="20">
    <w:abstractNumId w:val="17"/>
  </w:num>
  <w:num w:numId="21">
    <w:abstractNumId w:val="1"/>
  </w:num>
  <w:num w:numId="22">
    <w:abstractNumId w:val="14"/>
  </w:num>
  <w:num w:numId="23">
    <w:abstractNumId w:val="12"/>
  </w:num>
  <w:num w:numId="24">
    <w:abstractNumId w:val="16"/>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C3A83"/>
    <w:rsid w:val="006F4797"/>
    <w:rsid w:val="00707A00"/>
    <w:rsid w:val="00727505"/>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D2395"/>
    <w:rsid w:val="00D06C47"/>
    <w:rsid w:val="00D409D8"/>
    <w:rsid w:val="00DE15CC"/>
    <w:rsid w:val="00DF1BC9"/>
    <w:rsid w:val="00DF4242"/>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6128</Words>
  <Characters>36526</Characters>
  <Application>Microsoft Office Word</Application>
  <DocSecurity>0</DocSecurity>
  <Lines>1461</Lines>
  <Paragraphs>907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2019-05-23T16:17:00Z</dcterms:created>
  <dcterms:modified xsi:type="dcterms:W3CDTF">2019-05-23T16:17:00Z</dcterms:modified>
</cp:coreProperties>
</file>