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A9A" w:rsidRPr="003C1A9A" w:rsidRDefault="003C1A9A" w:rsidP="003C1A9A">
      <w:pPr>
        <w:pStyle w:val="Kop1"/>
        <w:shd w:val="clear" w:color="auto" w:fill="FFFFFF"/>
        <w:rPr>
          <w:rFonts w:ascii="Titillium Web" w:hAnsi="Titillium Web"/>
          <w:b w:val="0"/>
          <w:bCs w:val="0"/>
          <w:color w:val="777777"/>
          <w:sz w:val="55"/>
          <w:szCs w:val="55"/>
          <w:lang w:val="nl-BE"/>
        </w:rPr>
      </w:pPr>
      <w:r w:rsidRPr="003C1A9A">
        <w:rPr>
          <w:rFonts w:ascii="Titillium Web" w:hAnsi="Titillium Web"/>
          <w:b w:val="0"/>
          <w:bCs w:val="0"/>
          <w:color w:val="777777"/>
          <w:sz w:val="55"/>
          <w:szCs w:val="55"/>
          <w:lang w:val="nl-BE"/>
        </w:rPr>
        <w:t>Circulaire nr. AFZ/1996-0398 (AFZ 11/2008) dd. 22.04.2008</w:t>
      </w:r>
    </w:p>
    <w:p w:rsidR="003C1A9A" w:rsidRDefault="003C1A9A" w:rsidP="003C1A9A">
      <w:pPr>
        <w:rPr>
          <w:rFonts w:ascii="Times New Roman" w:hAnsi="Times New Roman"/>
          <w:sz w:val="24"/>
          <w:szCs w:val="24"/>
        </w:rPr>
      </w:pPr>
      <w:r>
        <w:rPr>
          <w:rFonts w:ascii="Titillium Web" w:hAnsi="Titillium Web"/>
          <w:color w:val="444444"/>
          <w:sz w:val="20"/>
          <w:szCs w:val="20"/>
        </w:rPr>
        <w:br/>
      </w:r>
    </w:p>
    <w:p w:rsidR="003C1A9A" w:rsidRDefault="003C1A9A" w:rsidP="003C1A9A">
      <w:pPr>
        <w:shd w:val="clear" w:color="auto" w:fill="FFFFFF"/>
        <w:spacing w:after="240"/>
        <w:rPr>
          <w:rFonts w:ascii="Titillium Web" w:hAnsi="Titillium Web"/>
          <w:color w:val="444444"/>
          <w:sz w:val="20"/>
          <w:szCs w:val="20"/>
        </w:rPr>
      </w:pPr>
      <w:bookmarkStart w:id="0" w:name="214aa1a9-7fc7-44be-88a7-34f52d11b282"/>
      <w:r>
        <w:rPr>
          <w:rFonts w:ascii="Titillium Web" w:hAnsi="Titillium Web"/>
          <w:b/>
          <w:bCs/>
          <w:color w:val="0072C6"/>
          <w:sz w:val="20"/>
          <w:szCs w:val="20"/>
        </w:rPr>
        <w:t>CIRC 22.04.08/5</w:t>
      </w:r>
      <w:bookmarkEnd w:id="0"/>
      <w:r>
        <w:rPr>
          <w:rFonts w:ascii="Titillium Web" w:hAnsi="Titillium Web"/>
          <w:color w:val="444444"/>
          <w:sz w:val="20"/>
          <w:szCs w:val="20"/>
        </w:rPr>
        <w:t> </w:t>
      </w:r>
    </w:p>
    <w:p w:rsidR="003C1A9A" w:rsidRDefault="003C1A9A" w:rsidP="003C1A9A">
      <w:pPr>
        <w:shd w:val="clear" w:color="auto" w:fill="FFFFFF"/>
        <w:spacing w:after="240"/>
        <w:rPr>
          <w:rFonts w:ascii="Titillium Web" w:hAnsi="Titillium Web"/>
          <w:color w:val="444444"/>
          <w:sz w:val="20"/>
          <w:szCs w:val="20"/>
        </w:rPr>
      </w:pPr>
      <w:r>
        <w:rPr>
          <w:rFonts w:ascii="Titillium Web" w:hAnsi="Titillium Web"/>
          <w:b/>
          <w:bCs/>
          <w:color w:val="444444"/>
          <w:sz w:val="20"/>
          <w:szCs w:val="20"/>
        </w:rPr>
        <w:t>Circulaire nr. AFZ/1996-0398 (AFZ 11/2008) dd. 22.04.2008</w:t>
      </w:r>
      <w:r>
        <w:rPr>
          <w:rFonts w:ascii="Titillium Web" w:hAnsi="Titillium Web"/>
          <w:b/>
          <w:bCs/>
          <w:color w:val="444444"/>
          <w:sz w:val="20"/>
          <w:szCs w:val="20"/>
        </w:rPr>
        <w:br/>
      </w:r>
    </w:p>
    <w:p w:rsidR="003C1A9A" w:rsidRDefault="003C1A9A" w:rsidP="003C1A9A">
      <w:pPr>
        <w:shd w:val="clear" w:color="auto" w:fill="FFFFFF"/>
        <w:spacing w:after="240"/>
        <w:rPr>
          <w:rFonts w:ascii="Titillium Web" w:hAnsi="Titillium Web"/>
          <w:color w:val="444444"/>
          <w:sz w:val="20"/>
          <w:szCs w:val="20"/>
        </w:rPr>
      </w:pPr>
      <w:r>
        <w:rPr>
          <w:rFonts w:ascii="Titillium Web" w:hAnsi="Titillium Web"/>
          <w:i/>
          <w:iCs/>
          <w:color w:val="444444"/>
          <w:sz w:val="20"/>
          <w:szCs w:val="20"/>
        </w:rPr>
        <w:t>DUBBELBELASTINGVERDRAG</w:t>
      </w:r>
      <w:r>
        <w:rPr>
          <w:rFonts w:ascii="Titillium Web" w:hAnsi="Titillium Web"/>
          <w:i/>
          <w:iCs/>
          <w:color w:val="444444"/>
          <w:sz w:val="20"/>
          <w:szCs w:val="20"/>
        </w:rPr>
        <w:br/>
        <w:t>   Clausule van meest begunstigde natie</w:t>
      </w:r>
      <w:r>
        <w:rPr>
          <w:rFonts w:ascii="Titillium Web" w:hAnsi="Titillium Web"/>
          <w:i/>
          <w:iCs/>
          <w:color w:val="444444"/>
          <w:sz w:val="20"/>
          <w:szCs w:val="20"/>
        </w:rPr>
        <w:br/>
        <w:t>   Inkomen uit een zelfstandig beroep</w:t>
      </w:r>
      <w:r>
        <w:rPr>
          <w:rFonts w:ascii="Titillium Web" w:hAnsi="Titillium Web"/>
          <w:i/>
          <w:iCs/>
          <w:color w:val="444444"/>
          <w:sz w:val="20"/>
          <w:szCs w:val="20"/>
        </w:rPr>
        <w:br/>
        <w:t>   Oezbekistan</w:t>
      </w:r>
      <w:r>
        <w:rPr>
          <w:rFonts w:ascii="Titillium Web" w:hAnsi="Titillium Web"/>
          <w:color w:val="444444"/>
          <w:sz w:val="20"/>
          <w:szCs w:val="20"/>
        </w:rPr>
        <w:t> </w:t>
      </w:r>
    </w:p>
    <w:p w:rsidR="003C1A9A" w:rsidRDefault="003C1A9A" w:rsidP="003C1A9A">
      <w:pPr>
        <w:shd w:val="clear" w:color="auto" w:fill="FFFFFF"/>
        <w:rPr>
          <w:rFonts w:ascii="Titillium Web" w:hAnsi="Titillium Web"/>
          <w:b/>
          <w:bCs/>
          <w:color w:val="444444"/>
          <w:sz w:val="20"/>
          <w:szCs w:val="20"/>
        </w:rPr>
      </w:pPr>
      <w:r>
        <w:rPr>
          <w:rFonts w:ascii="Titillium Web" w:hAnsi="Titillium Web"/>
          <w:color w:val="444444"/>
          <w:sz w:val="20"/>
          <w:szCs w:val="20"/>
          <w:u w:val="singl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Pr>
          <w:rFonts w:ascii="Titillium Web" w:hAnsi="Titillium Web"/>
          <w:color w:val="444444"/>
          <w:sz w:val="20"/>
          <w:szCs w:val="20"/>
        </w:rPr>
        <w:t>.</w:t>
      </w:r>
    </w:p>
    <w:p w:rsidR="003C1A9A" w:rsidRDefault="003C1A9A" w:rsidP="003C1A9A">
      <w:pPr>
        <w:shd w:val="clear" w:color="auto" w:fill="FFFFFF"/>
        <w:rPr>
          <w:rFonts w:ascii="Titillium Web" w:hAnsi="Titillium Web"/>
          <w:color w:val="444444"/>
          <w:sz w:val="20"/>
          <w:szCs w:val="20"/>
        </w:rPr>
      </w:pPr>
      <w:r>
        <w:rPr>
          <w:rFonts w:ascii="Titillium Web" w:hAnsi="Titillium Web"/>
          <w:b/>
          <w:bCs/>
          <w:color w:val="444444"/>
          <w:sz w:val="20"/>
          <w:szCs w:val="20"/>
        </w:rPr>
        <w:t>I. DOEL EN CONTEXT</w:t>
      </w:r>
    </w:p>
    <w:p w:rsidR="003C1A9A" w:rsidRDefault="003C1A9A" w:rsidP="003C1A9A">
      <w:pPr>
        <w:shd w:val="clear" w:color="auto" w:fill="FFFFFF"/>
        <w:rPr>
          <w:rFonts w:ascii="Titillium Web" w:hAnsi="Titillium Web"/>
          <w:color w:val="444444"/>
          <w:sz w:val="20"/>
          <w:szCs w:val="20"/>
        </w:rPr>
      </w:pPr>
      <w:r>
        <w:rPr>
          <w:rFonts w:ascii="Titillium Web" w:hAnsi="Titillium Web"/>
          <w:color w:val="444444"/>
          <w:sz w:val="20"/>
          <w:szCs w:val="20"/>
        </w:rPr>
        <w:t>    Deze circulaire beoogt duiding te geven bij de uitwerking van de clausule van meest begunstigde natie die is opgenomen in het punt 5 van het Protocol bij de Overeenkomst -België - Oezbekistan, ondertekend op 14 november 1996, zoals gewijzigd door het Aanvullend Protocol, ondertekend op 17 april 1998. </w:t>
      </w:r>
      <w:r>
        <w:rPr>
          <w:rFonts w:ascii="Titillium Web" w:hAnsi="Titillium Web"/>
          <w:color w:val="444444"/>
          <w:sz w:val="20"/>
          <w:szCs w:val="20"/>
          <w:u w:val="single"/>
        </w:rPr>
        <w:t>De uitwerking van deze clausule werd beoordeeld op datum van 1 januari 2008</w:t>
      </w:r>
      <w:r>
        <w:rPr>
          <w:rFonts w:ascii="Titillium Web" w:hAnsi="Titillium Web"/>
          <w:color w:val="444444"/>
          <w:sz w:val="20"/>
          <w:szCs w:val="20"/>
        </w:rPr>
        <w:t>.</w:t>
      </w:r>
    </w:p>
    <w:p w:rsidR="003C1A9A" w:rsidRDefault="003C1A9A" w:rsidP="003C1A9A">
      <w:pPr>
        <w:shd w:val="clear" w:color="auto" w:fill="FFFFFF"/>
        <w:rPr>
          <w:rFonts w:ascii="Titillium Web" w:hAnsi="Titillium Web"/>
          <w:b/>
          <w:bCs/>
          <w:color w:val="444444"/>
          <w:sz w:val="20"/>
          <w:szCs w:val="20"/>
        </w:rPr>
      </w:pPr>
      <w:r>
        <w:rPr>
          <w:rFonts w:ascii="Titillium Web" w:hAnsi="Titillium Web"/>
          <w:color w:val="444444"/>
          <w:sz w:val="20"/>
          <w:szCs w:val="20"/>
        </w:rPr>
        <w:t>    Een "clausule van meest begunstigde natie" (hierna genaamd "MBN-clausule") bepaalt doorgaans dat, indien de partnerstaat in een (latere) overeenkomst met een derde land betere voorwaarden overeenkomt dan diegene die zijn voorzien in de overeenkomst met België, deze voorwaarden automatisch toepassing vinden in de verhouding tussen België en de partnerstaat. Een MBN-clausule kan ook een verbodsbepaling bevatten, bijvoorbeeld in de zin dat de partnerstaat een bepaalde belasting in hoofde van Belgische ondernemingen niet mag heffen zolang er tussen deze partnerstaat en een derde land een overeenkomst in werking is die geen bepaling voorziet waardoor de heffing is toegelaten.</w:t>
      </w:r>
    </w:p>
    <w:p w:rsidR="003C1A9A" w:rsidRDefault="003C1A9A" w:rsidP="003C1A9A">
      <w:pPr>
        <w:shd w:val="clear" w:color="auto" w:fill="FFFFFF"/>
        <w:rPr>
          <w:rFonts w:ascii="Titillium Web" w:hAnsi="Titillium Web"/>
          <w:color w:val="444444"/>
          <w:sz w:val="20"/>
          <w:szCs w:val="20"/>
          <w:u w:val="single"/>
        </w:rPr>
      </w:pPr>
      <w:r>
        <w:rPr>
          <w:rFonts w:ascii="Titillium Web" w:hAnsi="Titillium Web"/>
          <w:b/>
          <w:bCs/>
          <w:color w:val="444444"/>
          <w:sz w:val="20"/>
          <w:szCs w:val="20"/>
        </w:rPr>
        <w:t>II MBN-clausule</w:t>
      </w:r>
    </w:p>
    <w:p w:rsidR="003C1A9A" w:rsidRDefault="003C1A9A" w:rsidP="003C1A9A">
      <w:pPr>
        <w:shd w:val="clear" w:color="auto" w:fill="FFFFFF"/>
        <w:rPr>
          <w:rFonts w:ascii="Titillium Web" w:hAnsi="Titillium Web"/>
          <w:color w:val="444444"/>
          <w:sz w:val="20"/>
          <w:szCs w:val="20"/>
        </w:rPr>
      </w:pPr>
      <w:r>
        <w:rPr>
          <w:rFonts w:ascii="Titillium Web" w:hAnsi="Titillium Web"/>
          <w:color w:val="444444"/>
          <w:sz w:val="20"/>
          <w:szCs w:val="20"/>
          <w:u w:val="single"/>
        </w:rPr>
        <w:t>Belastingheffing inkomsten uit zelfstandige beroepen</w:t>
      </w:r>
    </w:p>
    <w:p w:rsidR="003C1A9A" w:rsidRDefault="003C1A9A" w:rsidP="003C1A9A">
      <w:pPr>
        <w:shd w:val="clear" w:color="auto" w:fill="FFFFFF"/>
        <w:rPr>
          <w:rFonts w:ascii="Titillium Web" w:hAnsi="Titillium Web"/>
          <w:color w:val="444444"/>
          <w:sz w:val="20"/>
          <w:szCs w:val="20"/>
        </w:rPr>
      </w:pPr>
      <w:r>
        <w:rPr>
          <w:rFonts w:ascii="Titillium Web" w:hAnsi="Titillium Web"/>
          <w:color w:val="444444"/>
          <w:sz w:val="20"/>
          <w:szCs w:val="20"/>
        </w:rPr>
        <w:t>    De Overeenkomst België - Oezbekistan bevat een MBN-clausule, namelijk in </w:t>
      </w:r>
      <w:r>
        <w:rPr>
          <w:rFonts w:ascii="Titillium Web" w:hAnsi="Titillium Web"/>
          <w:color w:val="444444"/>
          <w:sz w:val="20"/>
          <w:szCs w:val="20"/>
          <w:u w:val="single"/>
        </w:rPr>
        <w:t>het Protocol nr. 5</w:t>
      </w:r>
      <w:r>
        <w:rPr>
          <w:rFonts w:ascii="Titillium Web" w:hAnsi="Titillium Web"/>
          <w:color w:val="444444"/>
          <w:sz w:val="20"/>
          <w:szCs w:val="20"/>
        </w:rPr>
        <w:t> bij de Overeenkomst (zie bijlage 1).</w:t>
      </w:r>
    </w:p>
    <w:p w:rsidR="003C1A9A" w:rsidRDefault="003C1A9A" w:rsidP="003C1A9A">
      <w:pPr>
        <w:shd w:val="clear" w:color="auto" w:fill="FFFFFF"/>
        <w:rPr>
          <w:rFonts w:ascii="Titillium Web" w:hAnsi="Titillium Web"/>
          <w:color w:val="444444"/>
          <w:sz w:val="20"/>
          <w:szCs w:val="20"/>
        </w:rPr>
      </w:pPr>
      <w:r>
        <w:rPr>
          <w:rFonts w:ascii="Titillium Web" w:hAnsi="Titillium Web"/>
          <w:color w:val="444444"/>
          <w:sz w:val="20"/>
          <w:szCs w:val="20"/>
        </w:rPr>
        <w:t>    Deze clausule verwijst naar de belastingheffing van de inkomsten bedoeld in </w:t>
      </w:r>
      <w:r>
        <w:rPr>
          <w:rFonts w:ascii="Titillium Web" w:hAnsi="Titillium Web"/>
          <w:color w:val="444444"/>
          <w:sz w:val="20"/>
          <w:szCs w:val="20"/>
          <w:u w:val="single"/>
        </w:rPr>
        <w:t>artikel 14, § 1 van de Overeenkomst</w:t>
      </w:r>
      <w:r>
        <w:rPr>
          <w:rFonts w:ascii="Titillium Web" w:hAnsi="Titillium Web"/>
          <w:color w:val="444444"/>
          <w:sz w:val="20"/>
          <w:szCs w:val="20"/>
        </w:rPr>
        <w:t>, zijnde de belastingheffing van inkomsten uit zelfstandige beroepen (zie bijlage 2).</w:t>
      </w:r>
      <w:r>
        <w:rPr>
          <w:rFonts w:ascii="Titillium Web" w:hAnsi="Titillium Web"/>
          <w:color w:val="444444"/>
          <w:sz w:val="20"/>
          <w:szCs w:val="20"/>
        </w:rPr>
        <w:br/>
        <w:t>Deze bepaling is opgesteld naar het voorbeeld van het fiscale UNO-modelverdrag. De overeenkomstsluitende staat waar het zelfstandig beroep wordt uitgeoefend heeft het recht om belasting te heffen op daaruit verkregen inkomsten, niet enkel indien de verkrijger er beschikt over een vaste basis maar </w:t>
      </w:r>
      <w:r>
        <w:rPr>
          <w:rFonts w:ascii="Titillium Web" w:hAnsi="Titillium Web"/>
          <w:color w:val="444444"/>
          <w:sz w:val="20"/>
          <w:szCs w:val="20"/>
          <w:u w:val="single"/>
        </w:rPr>
        <w:t>ook indien hij daar gedurende minstens 183 dagen verblijft in de loop van het belastbaar tijdperk</w:t>
      </w:r>
      <w:r>
        <w:rPr>
          <w:rFonts w:ascii="Titillium Web" w:hAnsi="Titillium Web"/>
          <w:color w:val="444444"/>
          <w:sz w:val="20"/>
          <w:szCs w:val="20"/>
        </w:rPr>
        <w:t>. In dat geval is de heffingsbevoegdheid in principe beperkt tot het deel van de inkomsten verkregen ter zake van de werkzaamheden verricht in de vaste basis of tijdens het verblijf in die staat gedurende minstens 183 dagen.</w:t>
      </w:r>
      <w:r>
        <w:rPr>
          <w:rFonts w:ascii="Titillium Web" w:hAnsi="Titillium Web"/>
          <w:color w:val="444444"/>
          <w:sz w:val="20"/>
          <w:szCs w:val="20"/>
        </w:rPr>
        <w:br/>
        <w:t>De MBN-clausule bepaalt echter dat de hierboven vermelde 183 dagen regel </w:t>
      </w:r>
      <w:r>
        <w:rPr>
          <w:rFonts w:ascii="Titillium Web" w:hAnsi="Titillium Web"/>
          <w:color w:val="444444"/>
          <w:sz w:val="20"/>
          <w:szCs w:val="20"/>
          <w:u w:val="single"/>
        </w:rPr>
        <w:t xml:space="preserve">niet </w:t>
      </w:r>
      <w:proofErr w:type="spellStart"/>
      <w:r>
        <w:rPr>
          <w:rFonts w:ascii="Titillium Web" w:hAnsi="Titillium Web"/>
          <w:color w:val="444444"/>
          <w:sz w:val="20"/>
          <w:szCs w:val="20"/>
          <w:u w:val="single"/>
        </w:rPr>
        <w:t>geldt</w:t>
      </w:r>
      <w:r>
        <w:rPr>
          <w:rFonts w:ascii="Titillium Web" w:hAnsi="Titillium Web"/>
          <w:color w:val="444444"/>
          <w:sz w:val="20"/>
          <w:szCs w:val="20"/>
        </w:rPr>
        <w:t>ten</w:t>
      </w:r>
      <w:proofErr w:type="spellEnd"/>
      <w:r>
        <w:rPr>
          <w:rFonts w:ascii="Titillium Web" w:hAnsi="Titillium Web"/>
          <w:color w:val="444444"/>
          <w:sz w:val="20"/>
          <w:szCs w:val="20"/>
        </w:rPr>
        <w:t xml:space="preserve"> aanzien van een inwoner van België zolang er tussen Oezbekistan en een EU-lidstaat een overeenkomst wordt toegepast waarin men enkel verwijst naar het criterium van de vaste basis.</w:t>
      </w:r>
    </w:p>
    <w:p w:rsidR="003C1A9A" w:rsidRDefault="003C1A9A" w:rsidP="003C1A9A">
      <w:pPr>
        <w:shd w:val="clear" w:color="auto" w:fill="FFFFFF"/>
        <w:rPr>
          <w:rFonts w:ascii="Titillium Web" w:hAnsi="Titillium Web"/>
          <w:color w:val="444444"/>
          <w:sz w:val="20"/>
          <w:szCs w:val="20"/>
        </w:rPr>
      </w:pPr>
      <w:r>
        <w:rPr>
          <w:rFonts w:ascii="Titillium Web" w:hAnsi="Titillium Web"/>
          <w:color w:val="444444"/>
          <w:sz w:val="20"/>
          <w:szCs w:val="20"/>
        </w:rPr>
        <w:lastRenderedPageBreak/>
        <w:t>    Uit de analyse van de relevante bepalingen in de door Oezbekistan afgesloten overeenkomsten met de andere EU-lidstaten is het volgende gebleken:</w:t>
      </w:r>
    </w:p>
    <w:p w:rsidR="003C1A9A" w:rsidRDefault="003C1A9A" w:rsidP="003C1A9A">
      <w:pPr>
        <w:shd w:val="clear" w:color="auto" w:fill="FFFFFF"/>
        <w:rPr>
          <w:rFonts w:ascii="Titillium Web" w:hAnsi="Titillium Web"/>
          <w:color w:val="444444"/>
          <w:sz w:val="20"/>
          <w:szCs w:val="20"/>
        </w:rPr>
      </w:pPr>
      <w:r>
        <w:rPr>
          <w:rFonts w:ascii="Titillium Web" w:hAnsi="Titillium Web"/>
          <w:color w:val="444444"/>
          <w:sz w:val="20"/>
          <w:szCs w:val="20"/>
        </w:rPr>
        <w:t>    In de overeenkomst Oezbekistan - Verenigd Koninkrijk, ondertekend op 15 oktober 1993 (van toepassing voor Oezbekistan vanaf 1 januari 1995), is voor wat betreft de inkomsten uit zelfstandige beroepen, enkel het criterium van de vaste basis opgenomen (art. 14 § 1). Dit is onder meer ook het geval in de overeenkomsten tussen Oezbekistan en Frankrijk (ondertekend op 22 april 1996), Duitsland (ondertekend op 7 september 1999) en Griekenland (ondertekend op 1 april 1997).</w:t>
      </w:r>
    </w:p>
    <w:p w:rsidR="003C1A9A" w:rsidRPr="003C1A9A" w:rsidRDefault="003C1A9A" w:rsidP="003C1A9A">
      <w:pPr>
        <w:shd w:val="clear" w:color="auto" w:fill="FFFFFF"/>
        <w:rPr>
          <w:rFonts w:ascii="Titillium Web" w:hAnsi="Titillium Web"/>
          <w:color w:val="444444"/>
          <w:sz w:val="20"/>
          <w:szCs w:val="20"/>
        </w:rPr>
      </w:pPr>
      <w:r>
        <w:rPr>
          <w:rFonts w:ascii="Titillium Web" w:hAnsi="Titillium Web"/>
          <w:color w:val="444444"/>
          <w:sz w:val="20"/>
          <w:szCs w:val="20"/>
        </w:rPr>
        <w:t>    Hieruit volgt dat, voor wat betreft inkomsten uit zelfstandige beroepen met bron in Oezbekistan, vanaf de initiële toepassingsdatum van de Overeenkomst België - Oezbekistan (1 januari 1997) de 183 dagen regel vermeld in artikel 14, § 1, b) geen toepassing vindt ten aanzien van inwoners van België.</w:t>
      </w:r>
    </w:p>
    <w:p w:rsidR="003C1A9A" w:rsidRDefault="003C1A9A" w:rsidP="003C1A9A">
      <w:pPr>
        <w:shd w:val="clear" w:color="auto" w:fill="FFFFFF"/>
        <w:spacing w:after="240"/>
        <w:rPr>
          <w:rFonts w:ascii="Titillium Web" w:hAnsi="Titillium Web"/>
          <w:color w:val="444444"/>
          <w:sz w:val="20"/>
          <w:szCs w:val="20"/>
        </w:rPr>
      </w:pPr>
      <w:r>
        <w:rPr>
          <w:rFonts w:ascii="Titillium Web" w:hAnsi="Titillium Web"/>
          <w:color w:val="444444"/>
          <w:sz w:val="20"/>
          <w:szCs w:val="20"/>
        </w:rPr>
        <w:t>NAMENS DE MINISTER: </w:t>
      </w:r>
      <w:r>
        <w:rPr>
          <w:rFonts w:ascii="Titillium Web" w:hAnsi="Titillium Web"/>
          <w:color w:val="444444"/>
          <w:sz w:val="20"/>
          <w:szCs w:val="20"/>
        </w:rPr>
        <w:br/>
        <w:t>De adjunct-administrateur-generaal, </w:t>
      </w:r>
    </w:p>
    <w:p w:rsidR="003C1A9A" w:rsidRDefault="003C1A9A" w:rsidP="003C1A9A">
      <w:pPr>
        <w:shd w:val="clear" w:color="auto" w:fill="FFFFFF"/>
        <w:spacing w:after="240"/>
        <w:rPr>
          <w:rFonts w:ascii="Titillium Web" w:hAnsi="Titillium Web"/>
          <w:color w:val="444444"/>
          <w:sz w:val="20"/>
          <w:szCs w:val="20"/>
        </w:rPr>
      </w:pPr>
      <w:r>
        <w:rPr>
          <w:rFonts w:ascii="Titillium Web" w:hAnsi="Titillium Web"/>
          <w:color w:val="444444"/>
          <w:sz w:val="20"/>
          <w:szCs w:val="20"/>
        </w:rPr>
        <w:t>Paul NECKEBROECK </w:t>
      </w:r>
    </w:p>
    <w:p w:rsidR="003C1A9A" w:rsidRDefault="003C1A9A" w:rsidP="003C1A9A">
      <w:pPr>
        <w:shd w:val="clear" w:color="auto" w:fill="FFFFFF"/>
        <w:spacing w:after="240"/>
        <w:rPr>
          <w:rFonts w:ascii="Titillium Web" w:hAnsi="Titillium Web"/>
          <w:color w:val="444444"/>
          <w:sz w:val="20"/>
          <w:szCs w:val="20"/>
        </w:rPr>
      </w:pPr>
      <w:r>
        <w:rPr>
          <w:rFonts w:ascii="Titillium Web" w:hAnsi="Titillium Web"/>
          <w:color w:val="444444"/>
          <w:sz w:val="20"/>
          <w:szCs w:val="20"/>
        </w:rPr>
        <w:t>     </w:t>
      </w:r>
    </w:p>
    <w:p w:rsidR="003C1A9A" w:rsidRDefault="003C1A9A" w:rsidP="003C1A9A">
      <w:pPr>
        <w:shd w:val="clear" w:color="auto" w:fill="FFFFFF"/>
        <w:rPr>
          <w:rFonts w:ascii="Titillium Web" w:hAnsi="Titillium Web"/>
          <w:color w:val="444444"/>
          <w:sz w:val="20"/>
          <w:szCs w:val="20"/>
        </w:rPr>
      </w:pPr>
      <w:r>
        <w:rPr>
          <w:rFonts w:ascii="Titillium Web" w:hAnsi="Titillium Web"/>
          <w:color w:val="444444"/>
          <w:sz w:val="20"/>
          <w:szCs w:val="20"/>
          <w:u w:val="single"/>
        </w:rPr>
        <w:t>Bijlage 1</w:t>
      </w:r>
    </w:p>
    <w:p w:rsidR="003C1A9A" w:rsidRDefault="003C1A9A" w:rsidP="003C1A9A">
      <w:pPr>
        <w:shd w:val="clear" w:color="auto" w:fill="FFFFFF"/>
        <w:rPr>
          <w:rFonts w:ascii="Titillium Web" w:hAnsi="Titillium Web"/>
          <w:i/>
          <w:iCs/>
          <w:color w:val="444444"/>
          <w:sz w:val="20"/>
          <w:szCs w:val="20"/>
        </w:rPr>
      </w:pPr>
      <w:r>
        <w:rPr>
          <w:rFonts w:ascii="Titillium Web" w:hAnsi="Titillium Web"/>
          <w:color w:val="444444"/>
          <w:sz w:val="20"/>
          <w:szCs w:val="20"/>
        </w:rPr>
        <w:t>    Protocol nr. 5 bij de Overeenkomst België - Oezbekistan, ondertekend op 14 november 1996</w:t>
      </w:r>
    </w:p>
    <w:p w:rsidR="003C1A9A" w:rsidRDefault="003C1A9A" w:rsidP="003C1A9A">
      <w:pPr>
        <w:shd w:val="clear" w:color="auto" w:fill="FFFFFF"/>
        <w:rPr>
          <w:rFonts w:ascii="Titillium Web" w:hAnsi="Titillium Web"/>
          <w:i/>
          <w:iCs/>
          <w:color w:val="444444"/>
          <w:sz w:val="20"/>
          <w:szCs w:val="20"/>
        </w:rPr>
      </w:pPr>
      <w:r>
        <w:rPr>
          <w:rFonts w:ascii="Titillium Web" w:hAnsi="Titillium Web"/>
          <w:i/>
          <w:iCs/>
          <w:color w:val="444444"/>
          <w:sz w:val="20"/>
          <w:szCs w:val="20"/>
        </w:rPr>
        <w:t>    "Met betrekking tot artikel 14, paragraaf 1:</w:t>
      </w:r>
    </w:p>
    <w:p w:rsidR="003C1A9A" w:rsidRDefault="003C1A9A" w:rsidP="003C1A9A">
      <w:pPr>
        <w:shd w:val="clear" w:color="auto" w:fill="FFFFFF"/>
        <w:rPr>
          <w:rFonts w:ascii="Titillium Web" w:hAnsi="Titillium Web"/>
          <w:color w:val="444444"/>
          <w:sz w:val="20"/>
          <w:szCs w:val="20"/>
        </w:rPr>
      </w:pPr>
      <w:r>
        <w:rPr>
          <w:rFonts w:ascii="Titillium Web" w:hAnsi="Titillium Web"/>
          <w:i/>
          <w:iCs/>
          <w:color w:val="444444"/>
          <w:sz w:val="20"/>
          <w:szCs w:val="20"/>
        </w:rPr>
        <w:t xml:space="preserve">    Zolang Oezbekistan voor de toepassing van een Overeenkomst tussen Oezbekistan en een derde Staat die lid is van de Europese Unie, in werkelijkheid enkel verwijst naar het criterium van de vaste basis waarin </w:t>
      </w:r>
      <w:proofErr w:type="spellStart"/>
      <w:r>
        <w:rPr>
          <w:rFonts w:ascii="Titillium Web" w:hAnsi="Titillium Web"/>
          <w:i/>
          <w:iCs/>
          <w:color w:val="444444"/>
          <w:sz w:val="20"/>
          <w:szCs w:val="20"/>
        </w:rPr>
        <w:t>subparagraaf</w:t>
      </w:r>
      <w:proofErr w:type="spellEnd"/>
      <w:r>
        <w:rPr>
          <w:rFonts w:ascii="Titillium Web" w:hAnsi="Titillium Web"/>
          <w:i/>
          <w:iCs/>
          <w:color w:val="444444"/>
          <w:sz w:val="20"/>
          <w:szCs w:val="20"/>
        </w:rPr>
        <w:t xml:space="preserve"> a) voorziet, is het criterium waarin </w:t>
      </w:r>
      <w:proofErr w:type="spellStart"/>
      <w:r>
        <w:rPr>
          <w:rFonts w:ascii="Titillium Web" w:hAnsi="Titillium Web"/>
          <w:i/>
          <w:iCs/>
          <w:color w:val="444444"/>
          <w:sz w:val="20"/>
          <w:szCs w:val="20"/>
        </w:rPr>
        <w:t>subparagraaf</w:t>
      </w:r>
      <w:proofErr w:type="spellEnd"/>
      <w:r>
        <w:rPr>
          <w:rFonts w:ascii="Titillium Web" w:hAnsi="Titillium Web"/>
          <w:i/>
          <w:iCs/>
          <w:color w:val="444444"/>
          <w:sz w:val="20"/>
          <w:szCs w:val="20"/>
        </w:rPr>
        <w:t xml:space="preserve"> b) voorziet niet van toepassing op een inwoner van België."</w:t>
      </w:r>
    </w:p>
    <w:p w:rsidR="003C1A9A" w:rsidRDefault="003C1A9A" w:rsidP="003C1A9A">
      <w:pPr>
        <w:shd w:val="clear" w:color="auto" w:fill="FFFFFF"/>
        <w:rPr>
          <w:rFonts w:ascii="Titillium Web" w:hAnsi="Titillium Web"/>
          <w:color w:val="444444"/>
          <w:sz w:val="20"/>
          <w:szCs w:val="20"/>
        </w:rPr>
      </w:pPr>
      <w:r>
        <w:rPr>
          <w:rFonts w:ascii="Titillium Web" w:hAnsi="Titillium Web"/>
          <w:color w:val="444444"/>
          <w:sz w:val="20"/>
          <w:szCs w:val="20"/>
          <w:u w:val="single"/>
        </w:rPr>
        <w:t>Bijlage 2</w:t>
      </w:r>
    </w:p>
    <w:p w:rsidR="003C1A9A" w:rsidRDefault="003C1A9A" w:rsidP="003C1A9A">
      <w:pPr>
        <w:shd w:val="clear" w:color="auto" w:fill="FFFFFF"/>
        <w:rPr>
          <w:rFonts w:ascii="Titillium Web" w:hAnsi="Titillium Web"/>
          <w:i/>
          <w:iCs/>
          <w:color w:val="444444"/>
          <w:sz w:val="20"/>
          <w:szCs w:val="20"/>
        </w:rPr>
      </w:pPr>
      <w:r>
        <w:rPr>
          <w:rFonts w:ascii="Titillium Web" w:hAnsi="Titillium Web"/>
          <w:color w:val="444444"/>
          <w:sz w:val="20"/>
          <w:szCs w:val="20"/>
        </w:rPr>
        <w:t>    Overeenkomst België - Oezbekistan, ondertekend op 14 november 1996</w:t>
      </w:r>
    </w:p>
    <w:p w:rsidR="003C1A9A" w:rsidRDefault="003C1A9A" w:rsidP="003C1A9A">
      <w:pPr>
        <w:shd w:val="clear" w:color="auto" w:fill="FFFFFF"/>
        <w:rPr>
          <w:rFonts w:ascii="Titillium Web" w:hAnsi="Titillium Web"/>
          <w:i/>
          <w:iCs/>
          <w:color w:val="444444"/>
          <w:sz w:val="20"/>
          <w:szCs w:val="20"/>
        </w:rPr>
      </w:pPr>
      <w:r>
        <w:rPr>
          <w:rFonts w:ascii="Titillium Web" w:hAnsi="Titillium Web"/>
          <w:i/>
          <w:iCs/>
          <w:color w:val="444444"/>
          <w:sz w:val="20"/>
          <w:szCs w:val="20"/>
        </w:rPr>
        <w:t>    "Artikel 14 Zelfstandige beroepen</w:t>
      </w:r>
    </w:p>
    <w:p w:rsidR="003C1A9A" w:rsidRDefault="003C1A9A" w:rsidP="003C1A9A">
      <w:pPr>
        <w:shd w:val="clear" w:color="auto" w:fill="FFFFFF"/>
        <w:rPr>
          <w:rFonts w:ascii="Titillium Web" w:hAnsi="Titillium Web"/>
          <w:i/>
          <w:iCs/>
          <w:color w:val="444444"/>
          <w:sz w:val="20"/>
          <w:szCs w:val="20"/>
        </w:rPr>
      </w:pPr>
      <w:r>
        <w:rPr>
          <w:rFonts w:ascii="Titillium Web" w:hAnsi="Titillium Web"/>
          <w:i/>
          <w:iCs/>
          <w:color w:val="444444"/>
          <w:sz w:val="20"/>
          <w:szCs w:val="20"/>
        </w:rPr>
        <w:t xml:space="preserve">    § 1. Inkomsten verkregen door een inwoner van een overeenkomstsluitende Staat in de uitoefening van een vrij beroep of </w:t>
      </w:r>
      <w:proofErr w:type="spellStart"/>
      <w:r>
        <w:rPr>
          <w:rFonts w:ascii="Titillium Web" w:hAnsi="Titillium Web"/>
          <w:i/>
          <w:iCs/>
          <w:color w:val="444444"/>
          <w:sz w:val="20"/>
          <w:szCs w:val="20"/>
        </w:rPr>
        <w:t>terzake</w:t>
      </w:r>
      <w:proofErr w:type="spellEnd"/>
      <w:r>
        <w:rPr>
          <w:rFonts w:ascii="Titillium Web" w:hAnsi="Titillium Web"/>
          <w:i/>
          <w:iCs/>
          <w:color w:val="444444"/>
          <w:sz w:val="20"/>
          <w:szCs w:val="20"/>
        </w:rPr>
        <w:t xml:space="preserve"> van andere soortgelijke werkzaamheden van zelfstandige aard zijn slechts in die Staat belastbaar, behalve in de volgende gevallen waarin die inkomsten ook in de andere overeenkomstsluitende Staat mogen worden belast:</w:t>
      </w:r>
    </w:p>
    <w:p w:rsidR="003C1A9A" w:rsidRDefault="003C1A9A" w:rsidP="003C1A9A">
      <w:pPr>
        <w:shd w:val="clear" w:color="auto" w:fill="FFFFFF"/>
        <w:rPr>
          <w:rFonts w:ascii="Titillium Web" w:hAnsi="Titillium Web"/>
          <w:i/>
          <w:iCs/>
          <w:color w:val="444444"/>
          <w:sz w:val="20"/>
          <w:szCs w:val="20"/>
        </w:rPr>
      </w:pPr>
      <w:r>
        <w:rPr>
          <w:rFonts w:ascii="Titillium Web" w:hAnsi="Titillium Web"/>
          <w:i/>
          <w:iCs/>
          <w:color w:val="444444"/>
          <w:sz w:val="20"/>
          <w:szCs w:val="20"/>
        </w:rPr>
        <w:t>    a) indien hij in de andere overeenkomstsluitende Staat voor het verrichten van zijn werkzaamheden geregeld over een vaste basis beschikt; in dat geval mag slechts het deel van de inkomsten dat aan die vaste basis kan worden toegerekend, in die andere Staat worden belast; of</w:t>
      </w:r>
    </w:p>
    <w:p w:rsidR="003C1A9A" w:rsidRDefault="003C1A9A" w:rsidP="003C1A9A">
      <w:pPr>
        <w:shd w:val="clear" w:color="auto" w:fill="FFFFFF"/>
        <w:rPr>
          <w:rFonts w:ascii="Titillium Web" w:hAnsi="Titillium Web"/>
          <w:i/>
          <w:iCs/>
          <w:color w:val="444444"/>
          <w:sz w:val="20"/>
          <w:szCs w:val="20"/>
        </w:rPr>
      </w:pPr>
      <w:r>
        <w:rPr>
          <w:rFonts w:ascii="Titillium Web" w:hAnsi="Titillium Web"/>
          <w:i/>
          <w:iCs/>
          <w:color w:val="444444"/>
          <w:sz w:val="20"/>
          <w:szCs w:val="20"/>
        </w:rPr>
        <w:t>    b) indien hij in de andere overeenkomstsluitende Staat verblijft gedurende een tijdvak of tijdvakken die in enig tijdperk van twaalf maanden dat aanvangt of eindigt in het betrokken kalenderjaar een totaal van 183 dagen bereiken of te boven gaan; in dat geval mag slechts het deel van de inkomsten dat afkomstig is van de gedurende het betrokken jaar in die andere Staat verrichte werkzaamheden, in die andere Staat worden belast.</w:t>
      </w:r>
    </w:p>
    <w:p w:rsidR="003C1A9A" w:rsidRPr="003C1A9A" w:rsidRDefault="003C1A9A" w:rsidP="003C1A9A">
      <w:pPr>
        <w:shd w:val="clear" w:color="auto" w:fill="FFFFFF"/>
        <w:rPr>
          <w:rFonts w:ascii="Titillium Web" w:hAnsi="Titillium Web"/>
          <w:color w:val="444444"/>
          <w:sz w:val="20"/>
          <w:szCs w:val="20"/>
        </w:rPr>
      </w:pPr>
      <w:r>
        <w:rPr>
          <w:rFonts w:ascii="Titillium Web" w:hAnsi="Titillium Web"/>
          <w:i/>
          <w:iCs/>
          <w:color w:val="444444"/>
          <w:sz w:val="20"/>
          <w:szCs w:val="20"/>
        </w:rPr>
        <w:t>    § 2. De uitdrukking "vrij beroep" omvat in het bijzonder zelfstandige werkzaamheden op het gebied van wetenschap, letterkunde, kunst, opvoeding of onderwijs, alsmede de zelfstandige werkzaamheden van artsen, advocaten, ingenieurs, architecten, tandartsen en accountants."</w:t>
      </w:r>
    </w:p>
    <w:p w:rsidR="00B422A3" w:rsidRPr="003C1A9A" w:rsidRDefault="00B422A3" w:rsidP="003C1A9A">
      <w:bookmarkStart w:id="1" w:name="_GoBack"/>
      <w:bookmarkEnd w:id="1"/>
    </w:p>
    <w:sectPr w:rsidR="00B422A3" w:rsidRPr="003C1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1F1EE1"/>
    <w:rsid w:val="00206712"/>
    <w:rsid w:val="002907DD"/>
    <w:rsid w:val="002D57C8"/>
    <w:rsid w:val="002D6F2A"/>
    <w:rsid w:val="002F7C63"/>
    <w:rsid w:val="00305853"/>
    <w:rsid w:val="00314004"/>
    <w:rsid w:val="003679F8"/>
    <w:rsid w:val="003C1A9A"/>
    <w:rsid w:val="00400021"/>
    <w:rsid w:val="00456DB4"/>
    <w:rsid w:val="004925D7"/>
    <w:rsid w:val="004B5A77"/>
    <w:rsid w:val="004C251B"/>
    <w:rsid w:val="005065C6"/>
    <w:rsid w:val="00536240"/>
    <w:rsid w:val="00557E60"/>
    <w:rsid w:val="00575A9D"/>
    <w:rsid w:val="005D5390"/>
    <w:rsid w:val="006206B0"/>
    <w:rsid w:val="006451C8"/>
    <w:rsid w:val="006533C4"/>
    <w:rsid w:val="00687173"/>
    <w:rsid w:val="006A2EED"/>
    <w:rsid w:val="006F4797"/>
    <w:rsid w:val="00707A00"/>
    <w:rsid w:val="00744167"/>
    <w:rsid w:val="007E5AD1"/>
    <w:rsid w:val="00847C91"/>
    <w:rsid w:val="00882974"/>
    <w:rsid w:val="008966EB"/>
    <w:rsid w:val="008A079A"/>
    <w:rsid w:val="008B1D8B"/>
    <w:rsid w:val="008E1BC6"/>
    <w:rsid w:val="008E22A8"/>
    <w:rsid w:val="00951E6F"/>
    <w:rsid w:val="009B6F03"/>
    <w:rsid w:val="00A237A1"/>
    <w:rsid w:val="00A35916"/>
    <w:rsid w:val="00A403C7"/>
    <w:rsid w:val="00B22AB6"/>
    <w:rsid w:val="00B422A3"/>
    <w:rsid w:val="00BA6EF2"/>
    <w:rsid w:val="00BB775C"/>
    <w:rsid w:val="00BE4EC5"/>
    <w:rsid w:val="00CD2395"/>
    <w:rsid w:val="00D06C47"/>
    <w:rsid w:val="00D409D8"/>
    <w:rsid w:val="00DE15CC"/>
    <w:rsid w:val="00DF1BC9"/>
    <w:rsid w:val="00E068F2"/>
    <w:rsid w:val="00E61CAD"/>
    <w:rsid w:val="00EB080A"/>
    <w:rsid w:val="00EF1BD3"/>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5045</Characters>
  <Application>Microsoft Office Word</Application>
  <DocSecurity>0</DocSecurity>
  <Lines>201</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2019-05-23T15:51:00Z</dcterms:created>
  <dcterms:modified xsi:type="dcterms:W3CDTF">2019-05-23T15:51:00Z</dcterms:modified>
</cp:coreProperties>
</file>