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81D" w:rsidRPr="0064181D" w:rsidRDefault="0064181D" w:rsidP="0064181D">
      <w:pPr>
        <w:pStyle w:val="Kop1"/>
        <w:shd w:val="clear" w:color="auto" w:fill="FFFFFF"/>
        <w:rPr>
          <w:rFonts w:ascii="Titillium Web" w:hAnsi="Titillium Web"/>
          <w:b w:val="0"/>
          <w:bCs w:val="0"/>
          <w:color w:val="777777"/>
          <w:sz w:val="55"/>
          <w:szCs w:val="55"/>
          <w:lang w:val="nl-BE"/>
        </w:rPr>
      </w:pPr>
      <w:r w:rsidRPr="0064181D">
        <w:rPr>
          <w:rFonts w:ascii="Titillium Web" w:hAnsi="Titillium Web"/>
          <w:b w:val="0"/>
          <w:bCs w:val="0"/>
          <w:color w:val="777777"/>
          <w:sz w:val="55"/>
          <w:szCs w:val="55"/>
          <w:lang w:val="nl-BE"/>
        </w:rPr>
        <w:t>Addendum dd. 28.03.2012 bij de Circulaire AFZ nr. 14/2009 dd. 05.10.2009 (AFZ/1996-0494)</w:t>
      </w:r>
    </w:p>
    <w:p w:rsidR="0064181D" w:rsidRDefault="0064181D" w:rsidP="0064181D">
      <w:pPr>
        <w:rPr>
          <w:rFonts w:ascii="Times New Roman" w:hAnsi="Times New Roman"/>
          <w:sz w:val="24"/>
          <w:szCs w:val="24"/>
        </w:rPr>
      </w:pPr>
      <w:r>
        <w:rPr>
          <w:rFonts w:ascii="Titillium Web" w:hAnsi="Titillium Web"/>
          <w:color w:val="444444"/>
          <w:sz w:val="20"/>
          <w:szCs w:val="20"/>
        </w:rPr>
        <w:br/>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t xml:space="preserve">Beleidsexpertise en </w:t>
      </w:r>
      <w:r>
        <w:rPr>
          <w:rFonts w:ascii="Tahoma" w:hAnsi="Tahoma" w:cs="Tahoma"/>
          <w:color w:val="444444"/>
          <w:sz w:val="20"/>
          <w:szCs w:val="20"/>
        </w:rPr>
        <w:t>�</w:t>
      </w:r>
      <w:r w:rsidRPr="0064181D">
        <w:rPr>
          <w:rFonts w:ascii="Titillium Web" w:hAnsi="Titillium Web"/>
          <w:color w:val="444444"/>
          <w:sz w:val="20"/>
          <w:szCs w:val="20"/>
          <w:lang w:val="nl-BE"/>
        </w:rPr>
        <w:t xml:space="preserve">ondersteuning </w:t>
      </w:r>
      <w:r>
        <w:rPr>
          <w:rFonts w:ascii="Tahoma" w:hAnsi="Tahoma" w:cs="Tahoma"/>
          <w:color w:val="444444"/>
          <w:sz w:val="20"/>
          <w:szCs w:val="20"/>
        </w:rPr>
        <w:t>�</w:t>
      </w:r>
      <w:r w:rsidRPr="0064181D">
        <w:rPr>
          <w:rFonts w:ascii="Titillium Web" w:hAnsi="Titillium Web"/>
          <w:color w:val="444444"/>
          <w:sz w:val="20"/>
          <w:szCs w:val="20"/>
          <w:lang w:val="nl-BE"/>
        </w:rPr>
        <w:t xml:space="preserve"> Administratie van fiscale zaken</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br/>
        <w:t>Directie 3</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br/>
      </w:r>
      <w:r w:rsidRPr="0064181D">
        <w:rPr>
          <w:rStyle w:val="Zwaar"/>
          <w:rFonts w:ascii="Titillium Web" w:hAnsi="Titillium Web"/>
          <w:color w:val="444444"/>
          <w:sz w:val="20"/>
          <w:szCs w:val="20"/>
          <w:lang w:val="nl-BE"/>
        </w:rPr>
        <w:t>Addendum dd. 28.03.2012 bij de </w:t>
      </w:r>
      <w:hyperlink r:id="rId5" w:history="1">
        <w:r w:rsidRPr="0064181D">
          <w:rPr>
            <w:rStyle w:val="Hyperlink"/>
            <w:rFonts w:ascii="Titillium Web" w:hAnsi="Titillium Web"/>
            <w:b/>
            <w:bCs/>
            <w:color w:val="663399"/>
            <w:sz w:val="20"/>
            <w:szCs w:val="20"/>
            <w:u w:val="none"/>
            <w:lang w:val="nl-BE"/>
          </w:rPr>
          <w:t>Circulaire AFZ nr. 14/2009 dd. 05.10.2009 (AFZ/1996-0494)</w:t>
        </w:r>
      </w:hyperlink>
    </w:p>
    <w:p w:rsidR="0064181D" w:rsidRPr="0064181D" w:rsidRDefault="0064181D" w:rsidP="0064181D">
      <w:pPr>
        <w:pStyle w:val="Normaalweb"/>
        <w:shd w:val="clear" w:color="auto" w:fill="FFFFFF"/>
        <w:spacing w:after="240" w:afterAutospacing="0"/>
        <w:rPr>
          <w:rFonts w:ascii="Titillium Web" w:hAnsi="Titillium Web"/>
          <w:color w:val="444444"/>
          <w:sz w:val="20"/>
          <w:szCs w:val="20"/>
          <w:lang w:val="nl-BE"/>
        </w:rPr>
      </w:pPr>
      <w:r w:rsidRPr="0064181D">
        <w:rPr>
          <w:rFonts w:ascii="Titillium Web" w:hAnsi="Titillium Web"/>
          <w:color w:val="444444"/>
          <w:sz w:val="20"/>
          <w:szCs w:val="20"/>
          <w:lang w:val="nl-BE"/>
        </w:rPr>
        <w:br/>
      </w:r>
      <w:r w:rsidRPr="0064181D">
        <w:rPr>
          <w:rStyle w:val="Nadruk"/>
          <w:rFonts w:ascii="Titillium Web" w:hAnsi="Titillium Web"/>
          <w:color w:val="444444"/>
          <w:sz w:val="20"/>
          <w:szCs w:val="20"/>
          <w:lang w:val="nl-BE"/>
        </w:rPr>
        <w:t>Inkomstenbelasting</w:t>
      </w:r>
      <w:r w:rsidRPr="0064181D">
        <w:rPr>
          <w:rFonts w:ascii="Titillium Web" w:hAnsi="Titillium Web"/>
          <w:color w:val="444444"/>
          <w:sz w:val="20"/>
          <w:szCs w:val="20"/>
          <w:lang w:val="nl-BE"/>
        </w:rPr>
        <w:t> </w:t>
      </w:r>
      <w:r w:rsidRPr="0064181D">
        <w:rPr>
          <w:rFonts w:ascii="Titillium Web" w:hAnsi="Titillium Web"/>
          <w:color w:val="444444"/>
          <w:sz w:val="20"/>
          <w:szCs w:val="20"/>
          <w:lang w:val="nl-BE"/>
        </w:rPr>
        <w:br/>
      </w:r>
      <w:r w:rsidRPr="0064181D">
        <w:rPr>
          <w:rStyle w:val="Nadruk"/>
          <w:rFonts w:ascii="Titillium Web" w:hAnsi="Titillium Web"/>
          <w:color w:val="444444"/>
          <w:sz w:val="20"/>
          <w:szCs w:val="20"/>
          <w:lang w:val="nl-BE"/>
        </w:rPr>
        <w:t>Dubbelbelastingverdrag</w:t>
      </w:r>
      <w:r w:rsidRPr="0064181D">
        <w:rPr>
          <w:rFonts w:ascii="Titillium Web" w:hAnsi="Titillium Web"/>
          <w:color w:val="444444"/>
          <w:sz w:val="20"/>
          <w:szCs w:val="20"/>
          <w:lang w:val="nl-BE"/>
        </w:rPr>
        <w:t> </w:t>
      </w:r>
      <w:r w:rsidRPr="0064181D">
        <w:rPr>
          <w:rFonts w:ascii="Titillium Web" w:hAnsi="Titillium Web"/>
          <w:color w:val="444444"/>
          <w:sz w:val="20"/>
          <w:szCs w:val="20"/>
          <w:lang w:val="nl-BE"/>
        </w:rPr>
        <w:br/>
      </w:r>
      <w:r w:rsidRPr="0064181D">
        <w:rPr>
          <w:rStyle w:val="Nadruk"/>
          <w:rFonts w:ascii="Titillium Web" w:hAnsi="Titillium Web"/>
          <w:color w:val="444444"/>
          <w:sz w:val="20"/>
          <w:szCs w:val="20"/>
          <w:lang w:val="nl-BE"/>
        </w:rPr>
        <w:t>Verenigde Arabische Emiraten</w:t>
      </w:r>
      <w:r w:rsidRPr="0064181D">
        <w:rPr>
          <w:rFonts w:ascii="Titillium Web" w:hAnsi="Titillium Web"/>
          <w:color w:val="444444"/>
          <w:sz w:val="20"/>
          <w:szCs w:val="20"/>
          <w:lang w:val="nl-BE"/>
        </w:rPr>
        <w:t> </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Style w:val="Nadruk"/>
          <w:rFonts w:ascii="Titillium Web" w:hAnsi="Titillium Web"/>
          <w:color w:val="444444"/>
          <w:sz w:val="20"/>
          <w:szCs w:val="20"/>
          <w:lang w:val="nl-BE"/>
        </w:rPr>
        <w:t>Richtlijnen voor de toepassing van de Overeenkomst tussen het Koninkrijk Belgi</w:t>
      </w:r>
      <w:r>
        <w:rPr>
          <w:rStyle w:val="Nadruk"/>
          <w:rFonts w:ascii="Tahoma" w:hAnsi="Tahoma" w:cs="Tahoma"/>
          <w:color w:val="444444"/>
          <w:sz w:val="20"/>
          <w:szCs w:val="20"/>
        </w:rPr>
        <w:t>�</w:t>
      </w:r>
      <w:r w:rsidRPr="0064181D">
        <w:rPr>
          <w:rStyle w:val="Nadruk"/>
          <w:rFonts w:ascii="Titillium Web" w:hAnsi="Titillium Web"/>
          <w:color w:val="444444"/>
          <w:sz w:val="20"/>
          <w:szCs w:val="20"/>
          <w:lang w:val="nl-BE"/>
        </w:rPr>
        <w:t xml:space="preserve"> en de Verenigde</w:t>
      </w:r>
      <w:r w:rsidRPr="0064181D">
        <w:rPr>
          <w:rStyle w:val="Nadruk"/>
          <w:rFonts w:ascii="Cambria" w:hAnsi="Cambria" w:cs="Cambria"/>
          <w:color w:val="444444"/>
          <w:sz w:val="20"/>
          <w:szCs w:val="20"/>
          <w:lang w:val="nl-BE"/>
        </w:rPr>
        <w:t> </w:t>
      </w:r>
      <w:r w:rsidRPr="0064181D">
        <w:rPr>
          <w:rStyle w:val="Nadruk"/>
          <w:rFonts w:ascii="Titillium Web" w:hAnsi="Titillium Web"/>
          <w:color w:val="444444"/>
          <w:sz w:val="20"/>
          <w:szCs w:val="20"/>
          <w:lang w:val="nl-BE"/>
        </w:rPr>
        <w:t>Arabische Emiraten tot het vermijden van dubbele belasting en tot het voorkomen van het ontgaan van</w:t>
      </w:r>
      <w:r w:rsidRPr="0064181D">
        <w:rPr>
          <w:rFonts w:ascii="Titillium Web" w:hAnsi="Titillium Web"/>
          <w:color w:val="444444"/>
          <w:sz w:val="20"/>
          <w:szCs w:val="20"/>
          <w:lang w:val="nl-BE"/>
        </w:rPr>
        <w:t> </w:t>
      </w:r>
      <w:r w:rsidRPr="0064181D">
        <w:rPr>
          <w:rStyle w:val="Nadruk"/>
          <w:rFonts w:ascii="Titillium Web" w:hAnsi="Titillium Web"/>
          <w:color w:val="444444"/>
          <w:sz w:val="20"/>
          <w:szCs w:val="20"/>
          <w:lang w:val="nl-BE"/>
        </w:rPr>
        <w:t>belasting inzake belastingen naar het inkomen en naar het vermogen, en van het Protocol, ondertekend</w:t>
      </w:r>
      <w:r w:rsidRPr="0064181D">
        <w:rPr>
          <w:rFonts w:ascii="Titillium Web" w:hAnsi="Titillium Web"/>
          <w:color w:val="444444"/>
          <w:sz w:val="20"/>
          <w:szCs w:val="20"/>
          <w:lang w:val="nl-BE"/>
        </w:rPr>
        <w:t> </w:t>
      </w:r>
      <w:r w:rsidRPr="0064181D">
        <w:rPr>
          <w:rStyle w:val="Nadruk"/>
          <w:rFonts w:ascii="Titillium Web" w:hAnsi="Titillium Web"/>
          <w:color w:val="444444"/>
          <w:sz w:val="20"/>
          <w:szCs w:val="20"/>
          <w:lang w:val="nl-BE"/>
        </w:rPr>
        <w:t>te Washington op 30 september 1996.</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t> </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u w:val="single"/>
          <w:lang w:val="nl-BE"/>
        </w:rPr>
        <w:t xml:space="preserve">Aan alle ambtenaren van de niveaus A, B en C van de Stafdienst Beleidsexpertise en </w:t>
      </w:r>
      <w:r>
        <w:rPr>
          <w:rFonts w:ascii="Tahoma" w:hAnsi="Tahoma" w:cs="Tahoma"/>
          <w:color w:val="444444"/>
          <w:sz w:val="20"/>
          <w:szCs w:val="20"/>
          <w:u w:val="single"/>
        </w:rPr>
        <w:t>�</w:t>
      </w:r>
      <w:r w:rsidRPr="0064181D">
        <w:rPr>
          <w:rFonts w:ascii="Titillium Web" w:hAnsi="Titillium Web"/>
          <w:color w:val="444444"/>
          <w:sz w:val="20"/>
          <w:szCs w:val="20"/>
          <w:u w:val="single"/>
          <w:lang w:val="nl-BE"/>
        </w:rPr>
        <w:t>ondersteuning - Administratie van fiscale zaken, van de Algemene administratie van de Fiscaliteit (sector directe belastingen), van de Algemene administratie van de inning en de invordering (sector directe belastingen) en van de Algemene administratie van de fraudebestrijding.</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br/>
        <w:t>1. Het doel van dit addendum bestaat erin de lijst van de financi</w:t>
      </w:r>
      <w:r>
        <w:rPr>
          <w:rFonts w:ascii="Tahoma" w:hAnsi="Tahoma" w:cs="Tahoma"/>
          <w:color w:val="444444"/>
          <w:sz w:val="20"/>
          <w:szCs w:val="20"/>
        </w:rPr>
        <w:t>�</w:t>
      </w:r>
      <w:r w:rsidRPr="0064181D">
        <w:rPr>
          <w:rFonts w:ascii="Titillium Web" w:hAnsi="Titillium Web"/>
          <w:color w:val="444444"/>
          <w:sz w:val="20"/>
          <w:szCs w:val="20"/>
          <w:lang w:val="nl-BE"/>
        </w:rPr>
        <w:t>le instellingen bekend te maken die als inwoner van de ene of de andere overeenkomstsluitende Staat moeten worden beschouwd voor de toepassing van de paragrafen 3 van de artikelen 10, 11 en 12 van de Overeenkomst. Deze lijst werd opgesteld in overeenstemming met de verwachtingen van punt 4 van het Protocol.</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t> </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t>2. Punt III, B, 4 van de circulaire van 05/10/2009 wordt vervangen door het volgende:</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t>"4. Gemeenschappelijke bepalingen (paragrafen 3 van de artikelen 10, 11 en 12 + punt 4 van het Protocol)</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t> </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t>Wanneer de uiteindelijk gerechtigde tot de dividenden, interest en royalty's die worden betaald door een vennootschap die inwoner is van Belgi</w:t>
      </w:r>
      <w:r>
        <w:rPr>
          <w:rFonts w:ascii="Tahoma" w:hAnsi="Tahoma" w:cs="Tahoma"/>
          <w:color w:val="444444"/>
          <w:sz w:val="20"/>
          <w:szCs w:val="20"/>
        </w:rPr>
        <w:t>�</w:t>
      </w:r>
      <w:r w:rsidRPr="0064181D">
        <w:rPr>
          <w:rFonts w:ascii="Titillium Web" w:hAnsi="Titillium Web"/>
          <w:color w:val="444444"/>
          <w:sz w:val="20"/>
          <w:szCs w:val="20"/>
          <w:lang w:val="nl-BE"/>
        </w:rPr>
        <w:t xml:space="preserve">, </w:t>
      </w:r>
      <w:r>
        <w:rPr>
          <w:rFonts w:ascii="Tahoma" w:hAnsi="Tahoma" w:cs="Tahoma"/>
          <w:color w:val="444444"/>
          <w:sz w:val="20"/>
          <w:szCs w:val="20"/>
        </w:rPr>
        <w:t>��</w:t>
      </w:r>
      <w:r w:rsidRPr="0064181D">
        <w:rPr>
          <w:rFonts w:ascii="Titillium Web" w:hAnsi="Titillium Web"/>
          <w:color w:val="444444"/>
          <w:sz w:val="20"/>
          <w:szCs w:val="20"/>
          <w:lang w:val="nl-BE"/>
        </w:rPr>
        <w:t>n van de Emiraten of een staatkundig onderdeel of plaatselijke gemeenschap daarvan is of een financi</w:t>
      </w:r>
      <w:r>
        <w:rPr>
          <w:rFonts w:ascii="Tahoma" w:hAnsi="Tahoma" w:cs="Tahoma"/>
          <w:color w:val="444444"/>
          <w:sz w:val="20"/>
          <w:szCs w:val="20"/>
        </w:rPr>
        <w:t>�</w:t>
      </w:r>
      <w:r w:rsidRPr="0064181D">
        <w:rPr>
          <w:rFonts w:ascii="Titillium Web" w:hAnsi="Titillium Web"/>
          <w:color w:val="444444"/>
          <w:sz w:val="20"/>
          <w:szCs w:val="20"/>
          <w:lang w:val="nl-BE"/>
        </w:rPr>
        <w:t>le instelling die inwoner is van de Verenigde Arabische Emiraten, zijn die dividenden, interest en royalty's slechts belastbaar in de Verenigde Arabische Emiraten en zijn ze in Belgi</w:t>
      </w:r>
      <w:r>
        <w:rPr>
          <w:rFonts w:ascii="Tahoma" w:hAnsi="Tahoma" w:cs="Tahoma"/>
          <w:color w:val="444444"/>
          <w:sz w:val="20"/>
          <w:szCs w:val="20"/>
        </w:rPr>
        <w:t>�</w:t>
      </w:r>
      <w:r w:rsidRPr="0064181D">
        <w:rPr>
          <w:rFonts w:ascii="Titillium Web" w:hAnsi="Titillium Web"/>
          <w:color w:val="444444"/>
          <w:sz w:val="20"/>
          <w:szCs w:val="20"/>
          <w:lang w:val="nl-BE"/>
        </w:rPr>
        <w:t xml:space="preserve"> dus vrijgesteld.</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lastRenderedPageBreak/>
        <w:t>De financi</w:t>
      </w:r>
      <w:r>
        <w:rPr>
          <w:rFonts w:ascii="Tahoma" w:hAnsi="Tahoma" w:cs="Tahoma"/>
          <w:color w:val="444444"/>
          <w:sz w:val="20"/>
          <w:szCs w:val="20"/>
        </w:rPr>
        <w:t>�</w:t>
      </w:r>
      <w:r w:rsidRPr="0064181D">
        <w:rPr>
          <w:rFonts w:ascii="Titillium Web" w:hAnsi="Titillium Web"/>
          <w:color w:val="444444"/>
          <w:sz w:val="20"/>
          <w:szCs w:val="20"/>
          <w:lang w:val="nl-BE"/>
        </w:rPr>
        <w:t>le instellingen die beschouwd moeten worden als inwoner van de Verenigde Arabische Emiraten en die bijgevolg die vrijstelling kunnen genieten, zijn:</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t> </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t>- De financi</w:t>
      </w:r>
      <w:r>
        <w:rPr>
          <w:rFonts w:ascii="Tahoma" w:hAnsi="Tahoma" w:cs="Tahoma"/>
          <w:color w:val="444444"/>
          <w:sz w:val="20"/>
          <w:szCs w:val="20"/>
        </w:rPr>
        <w:t>�</w:t>
      </w:r>
      <w:r w:rsidRPr="0064181D">
        <w:rPr>
          <w:rFonts w:ascii="Titillium Web" w:hAnsi="Titillium Web"/>
          <w:color w:val="444444"/>
          <w:sz w:val="20"/>
          <w:szCs w:val="20"/>
          <w:lang w:val="nl-BE"/>
        </w:rPr>
        <w:t xml:space="preserve">le instellingen die in het bezit zijn van en onder toezicht staan van </w:t>
      </w:r>
      <w:r>
        <w:rPr>
          <w:rFonts w:ascii="Tahoma" w:hAnsi="Tahoma" w:cs="Tahoma"/>
          <w:color w:val="444444"/>
          <w:sz w:val="20"/>
          <w:szCs w:val="20"/>
        </w:rPr>
        <w:t>��</w:t>
      </w:r>
      <w:r w:rsidRPr="0064181D">
        <w:rPr>
          <w:rFonts w:ascii="Titillium Web" w:hAnsi="Titillium Web"/>
          <w:color w:val="444444"/>
          <w:sz w:val="20"/>
          <w:szCs w:val="20"/>
          <w:lang w:val="nl-BE"/>
        </w:rPr>
        <w:t>n of meer Emiraten. Punt 1 van het Protocol beschouwt die financi</w:t>
      </w:r>
      <w:r>
        <w:rPr>
          <w:rFonts w:ascii="Tahoma" w:hAnsi="Tahoma" w:cs="Tahoma"/>
          <w:color w:val="444444"/>
          <w:sz w:val="20"/>
          <w:szCs w:val="20"/>
        </w:rPr>
        <w:t>�</w:t>
      </w:r>
      <w:r w:rsidRPr="0064181D">
        <w:rPr>
          <w:rFonts w:ascii="Titillium Web" w:hAnsi="Titillium Web"/>
          <w:color w:val="444444"/>
          <w:sz w:val="20"/>
          <w:szCs w:val="20"/>
          <w:lang w:val="nl-BE"/>
        </w:rPr>
        <w:t xml:space="preserve">le instellingen immers ipso facto als inwoners. Die instellingen </w:t>
      </w:r>
      <w:r>
        <w:rPr>
          <w:rFonts w:ascii="Tahoma" w:hAnsi="Tahoma" w:cs="Tahoma"/>
          <w:color w:val="444444"/>
          <w:sz w:val="20"/>
          <w:szCs w:val="20"/>
        </w:rPr>
        <w:t>�</w:t>
      </w:r>
      <w:r w:rsidRPr="0064181D">
        <w:rPr>
          <w:rFonts w:ascii="Titillium Web" w:hAnsi="Titillium Web"/>
          <w:color w:val="444444"/>
          <w:sz w:val="20"/>
          <w:szCs w:val="20"/>
          <w:lang w:val="nl-BE"/>
        </w:rPr>
        <w:t xml:space="preserve"> inzonderheid de "staatsinvesteringsfondsen" </w:t>
      </w:r>
      <w:r>
        <w:rPr>
          <w:rFonts w:ascii="Tahoma" w:hAnsi="Tahoma" w:cs="Tahoma"/>
          <w:color w:val="444444"/>
          <w:sz w:val="20"/>
          <w:szCs w:val="20"/>
        </w:rPr>
        <w:t>�</w:t>
      </w:r>
      <w:r w:rsidRPr="0064181D">
        <w:rPr>
          <w:rFonts w:ascii="Titillium Web" w:hAnsi="Titillium Web"/>
          <w:color w:val="444444"/>
          <w:sz w:val="20"/>
          <w:szCs w:val="20"/>
          <w:lang w:val="nl-BE"/>
        </w:rPr>
        <w:t xml:space="preserve"> zullen bijgevolg de desbetreffende vrijstelling kunnen verkrijgen indien zij aantonen dat zij in het bezit zijn van en onder toezicht staan van </w:t>
      </w:r>
      <w:r>
        <w:rPr>
          <w:rFonts w:ascii="Tahoma" w:hAnsi="Tahoma" w:cs="Tahoma"/>
          <w:color w:val="444444"/>
          <w:sz w:val="20"/>
          <w:szCs w:val="20"/>
        </w:rPr>
        <w:t>��</w:t>
      </w:r>
      <w:r w:rsidRPr="0064181D">
        <w:rPr>
          <w:rFonts w:ascii="Titillium Web" w:hAnsi="Titillium Web"/>
          <w:color w:val="444444"/>
          <w:sz w:val="20"/>
          <w:szCs w:val="20"/>
          <w:lang w:val="nl-BE"/>
        </w:rPr>
        <w:t>n of meer Emiraten.</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t> </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t>- De financi</w:t>
      </w:r>
      <w:r>
        <w:rPr>
          <w:rFonts w:ascii="Tahoma" w:hAnsi="Tahoma" w:cs="Tahoma"/>
          <w:color w:val="444444"/>
          <w:sz w:val="20"/>
          <w:szCs w:val="20"/>
        </w:rPr>
        <w:t>�</w:t>
      </w:r>
      <w:r w:rsidRPr="0064181D">
        <w:rPr>
          <w:rFonts w:ascii="Titillium Web" w:hAnsi="Titillium Web"/>
          <w:color w:val="444444"/>
          <w:sz w:val="20"/>
          <w:szCs w:val="20"/>
          <w:lang w:val="nl-BE"/>
        </w:rPr>
        <w:t>le instellingen die voorkomen op de lijst die in overeenstemming met de verwachtingen van punt 4 van het Protocol werd opgesteld door de bevoegde autoriteiten van de twee overeenkomstsluitende Staten, met name:</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t> </w:t>
      </w:r>
    </w:p>
    <w:p w:rsidR="0064181D" w:rsidRP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lang w:val="en-GB"/>
        </w:rPr>
      </w:pPr>
      <w:r w:rsidRPr="0064181D">
        <w:rPr>
          <w:rFonts w:ascii="Titillium Web" w:hAnsi="Titillium Web"/>
          <w:color w:val="444444"/>
          <w:sz w:val="20"/>
          <w:szCs w:val="20"/>
          <w:lang w:val="en-GB"/>
        </w:rPr>
        <w:t>the Central Bank of the United Arab Emirates</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Abu-Dhabi Investment Authority</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Abu-Dhabi Investment Council</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the Emirates Investment Authority</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Mubadal</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the International Petroleum Investment Company</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Dubai World</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Dubai Investment Group</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National Bank of Abu-Dhabi</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Abu-Dhabi Commercial Bank</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ARBIFT</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Union National Bank</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Commercial Bank of Dubai</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Dubai Islamic Bank PJSC</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Emirates Islamic Bank</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Mashreq Bank PSC</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Sharjah Islamic Bank</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Bank of Sharjah PSC</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United Arab Bank PJSC</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InvestBank PLC</w:t>
      </w:r>
    </w:p>
    <w:p w:rsidR="0064181D" w:rsidRP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lang w:val="en-GB"/>
        </w:rPr>
      </w:pPr>
      <w:r w:rsidRPr="0064181D">
        <w:rPr>
          <w:rFonts w:ascii="Titillium Web" w:hAnsi="Titillium Web"/>
          <w:color w:val="444444"/>
          <w:sz w:val="20"/>
          <w:szCs w:val="20"/>
          <w:lang w:val="en-GB"/>
        </w:rPr>
        <w:t>the National Bank of R.A.K.</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Commercial Bank International</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National Bank of Fujairah PSC</w:t>
      </w:r>
    </w:p>
    <w:p w:rsidR="0064181D" w:rsidRP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lang w:val="en-GB"/>
        </w:rPr>
      </w:pPr>
      <w:r w:rsidRPr="0064181D">
        <w:rPr>
          <w:rFonts w:ascii="Titillium Web" w:hAnsi="Titillium Web"/>
          <w:color w:val="444444"/>
          <w:sz w:val="20"/>
          <w:szCs w:val="20"/>
          <w:lang w:val="en-GB"/>
        </w:rPr>
        <w:t>National Bank of U.A.Q. PSC</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First Gulf Bank</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Abu-Dhabi Islamic Bank</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Dubai Bank</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Noor Islamic Bank</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Al Hilal Bank</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Ajman Bank</w:t>
      </w:r>
    </w:p>
    <w:p w:rsidR="0064181D" w:rsidRDefault="0064181D" w:rsidP="0064181D">
      <w:pPr>
        <w:numPr>
          <w:ilvl w:val="0"/>
          <w:numId w:val="31"/>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Emirates NBD</w:t>
      </w:r>
    </w:p>
    <w:p w:rsidR="0064181D" w:rsidRDefault="0064181D" w:rsidP="0064181D">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t>De financi</w:t>
      </w:r>
      <w:r>
        <w:rPr>
          <w:rFonts w:ascii="Tahoma" w:hAnsi="Tahoma" w:cs="Tahoma"/>
          <w:color w:val="444444"/>
          <w:sz w:val="20"/>
          <w:szCs w:val="20"/>
        </w:rPr>
        <w:t>�</w:t>
      </w:r>
      <w:r w:rsidRPr="0064181D">
        <w:rPr>
          <w:rFonts w:ascii="Titillium Web" w:hAnsi="Titillium Web"/>
          <w:color w:val="444444"/>
          <w:sz w:val="20"/>
          <w:szCs w:val="20"/>
          <w:lang w:val="nl-BE"/>
        </w:rPr>
        <w:t xml:space="preserve">le instellingen die niet aantonen dat zij in het bezit zijn van en onder toezicht staan van </w:t>
      </w:r>
      <w:r>
        <w:rPr>
          <w:rFonts w:ascii="Tahoma" w:hAnsi="Tahoma" w:cs="Tahoma"/>
          <w:color w:val="444444"/>
          <w:sz w:val="20"/>
          <w:szCs w:val="20"/>
        </w:rPr>
        <w:t>��</w:t>
      </w:r>
      <w:r w:rsidRPr="0064181D">
        <w:rPr>
          <w:rFonts w:ascii="Titillium Web" w:hAnsi="Titillium Web"/>
          <w:color w:val="444444"/>
          <w:sz w:val="20"/>
          <w:szCs w:val="20"/>
          <w:lang w:val="nl-BE"/>
        </w:rPr>
        <w:t xml:space="preserve">n of meer Emiraten en die niet voorkomen in deze lijst kunnen, in voorkomend geval, andere belastingverminderingen genieten waarin de Overeenkomst voorziet (5 of 10 pct. voor dividenden, 5 pct. </w:t>
      </w:r>
      <w:r w:rsidRPr="0064181D">
        <w:rPr>
          <w:rFonts w:ascii="Titillium Web" w:hAnsi="Titillium Web"/>
          <w:color w:val="444444"/>
          <w:sz w:val="20"/>
          <w:szCs w:val="20"/>
          <w:lang w:val="nl-BE"/>
        </w:rPr>
        <w:lastRenderedPageBreak/>
        <w:t>voor interest en royalty</w:t>
      </w:r>
      <w:r>
        <w:rPr>
          <w:rFonts w:ascii="Tahoma" w:hAnsi="Tahoma" w:cs="Tahoma"/>
          <w:color w:val="444444"/>
          <w:sz w:val="20"/>
          <w:szCs w:val="20"/>
        </w:rPr>
        <w:t>�</w:t>
      </w:r>
      <w:r w:rsidRPr="0064181D">
        <w:rPr>
          <w:rFonts w:ascii="Titillium Web" w:hAnsi="Titillium Web"/>
          <w:color w:val="444444"/>
          <w:sz w:val="20"/>
          <w:szCs w:val="20"/>
          <w:lang w:val="nl-BE"/>
        </w:rPr>
        <w:t>s) wanneer zij voldoen aan de voorwaarden die gelden voor die andere verminderingen.</w:t>
      </w:r>
    </w:p>
    <w:p w:rsidR="0064181D" w:rsidRPr="0064181D" w:rsidRDefault="0064181D" w:rsidP="0064181D">
      <w:pPr>
        <w:pStyle w:val="Normaalweb"/>
        <w:shd w:val="clear" w:color="auto" w:fill="FFFFFF"/>
        <w:rPr>
          <w:rFonts w:ascii="Titillium Web" w:hAnsi="Titillium Web"/>
          <w:color w:val="444444"/>
          <w:sz w:val="20"/>
          <w:szCs w:val="20"/>
          <w:lang w:val="nl-BE"/>
        </w:rPr>
      </w:pPr>
      <w:r w:rsidRPr="0064181D">
        <w:rPr>
          <w:rFonts w:ascii="Titillium Web" w:hAnsi="Titillium Web"/>
          <w:color w:val="444444"/>
          <w:sz w:val="20"/>
          <w:szCs w:val="20"/>
          <w:lang w:val="nl-BE"/>
        </w:rPr>
        <w:t> </w:t>
      </w:r>
    </w:p>
    <w:p w:rsidR="0064181D" w:rsidRDefault="0064181D" w:rsidP="0064181D">
      <w:pPr>
        <w:pStyle w:val="Normaalweb"/>
        <w:shd w:val="clear" w:color="auto" w:fill="FFFFFF"/>
        <w:rPr>
          <w:rFonts w:ascii="Titillium Web" w:hAnsi="Titillium Web"/>
          <w:color w:val="444444"/>
          <w:sz w:val="20"/>
          <w:szCs w:val="20"/>
        </w:rPr>
      </w:pPr>
      <w:r w:rsidRPr="0064181D">
        <w:rPr>
          <w:rFonts w:ascii="Titillium Web" w:hAnsi="Titillium Web"/>
          <w:color w:val="444444"/>
          <w:sz w:val="20"/>
          <w:szCs w:val="20"/>
          <w:lang w:val="nl-BE"/>
        </w:rPr>
        <w:t>De bepalingen van de paragrafen 3 van de artikelen 10, 11 en 12 kunnen in theorie ook van toepassing zijn in het geval er dividenden, interest en royalty</w:t>
      </w:r>
      <w:r>
        <w:rPr>
          <w:rFonts w:ascii="Tahoma" w:hAnsi="Tahoma" w:cs="Tahoma"/>
          <w:color w:val="444444"/>
          <w:sz w:val="20"/>
          <w:szCs w:val="20"/>
        </w:rPr>
        <w:t>�</w:t>
      </w:r>
      <w:r w:rsidRPr="0064181D">
        <w:rPr>
          <w:rFonts w:ascii="Titillium Web" w:hAnsi="Titillium Web"/>
          <w:color w:val="444444"/>
          <w:sz w:val="20"/>
          <w:szCs w:val="20"/>
          <w:lang w:val="nl-BE"/>
        </w:rPr>
        <w:t xml:space="preserve">s door een vennootschap die inwoner is van de Verenigde Arabische Emiraten betaald zouden worden aan de Belgische Staat, aan </w:t>
      </w:r>
      <w:r>
        <w:rPr>
          <w:rFonts w:ascii="Tahoma" w:hAnsi="Tahoma" w:cs="Tahoma"/>
          <w:color w:val="444444"/>
          <w:sz w:val="20"/>
          <w:szCs w:val="20"/>
        </w:rPr>
        <w:t>��</w:t>
      </w:r>
      <w:r w:rsidRPr="0064181D">
        <w:rPr>
          <w:rFonts w:ascii="Titillium Web" w:hAnsi="Titillium Web"/>
          <w:color w:val="444444"/>
          <w:sz w:val="20"/>
          <w:szCs w:val="20"/>
          <w:lang w:val="nl-BE"/>
        </w:rPr>
        <w:t>n van de staatkundige onderdelen of plaatselijke gemeenschappen daarvan of aan een financi</w:t>
      </w:r>
      <w:r>
        <w:rPr>
          <w:rFonts w:ascii="Tahoma" w:hAnsi="Tahoma" w:cs="Tahoma"/>
          <w:color w:val="444444"/>
          <w:sz w:val="20"/>
          <w:szCs w:val="20"/>
        </w:rPr>
        <w:t>�</w:t>
      </w:r>
      <w:r w:rsidRPr="0064181D">
        <w:rPr>
          <w:rFonts w:ascii="Titillium Web" w:hAnsi="Titillium Web"/>
          <w:color w:val="444444"/>
          <w:sz w:val="20"/>
          <w:szCs w:val="20"/>
          <w:lang w:val="nl-BE"/>
        </w:rPr>
        <w:t>le instelling die inwoner is van Belgi</w:t>
      </w:r>
      <w:r>
        <w:rPr>
          <w:rFonts w:ascii="Tahoma" w:hAnsi="Tahoma" w:cs="Tahoma"/>
          <w:color w:val="444444"/>
          <w:sz w:val="20"/>
          <w:szCs w:val="20"/>
        </w:rPr>
        <w:t>�</w:t>
      </w:r>
      <w:r w:rsidRPr="0064181D">
        <w:rPr>
          <w:rFonts w:ascii="Titillium Web" w:hAnsi="Titillium Web"/>
          <w:color w:val="444444"/>
          <w:sz w:val="20"/>
          <w:szCs w:val="20"/>
          <w:lang w:val="nl-BE"/>
        </w:rPr>
        <w:t>. Maar dat is slechts theorie aangezien, zoals hierboven reeds vermeld, er momenteel in de Verenigde Arabische Emiraten geen bronheffing bestaat op dividenden, interest en royalty</w:t>
      </w:r>
      <w:r>
        <w:rPr>
          <w:rFonts w:ascii="Tahoma" w:hAnsi="Tahoma" w:cs="Tahoma"/>
          <w:color w:val="444444"/>
          <w:sz w:val="20"/>
          <w:szCs w:val="20"/>
        </w:rPr>
        <w:t>�</w:t>
      </w:r>
      <w:r w:rsidRPr="0064181D">
        <w:rPr>
          <w:rFonts w:ascii="Titillium Web" w:hAnsi="Titillium Web"/>
          <w:color w:val="444444"/>
          <w:sz w:val="20"/>
          <w:szCs w:val="20"/>
          <w:lang w:val="nl-BE"/>
        </w:rPr>
        <w:t>s. Voor het geval dat de Verenigde Arabische Emiraten evenwel op een dag zouden beslissen een bronheffing in te stellen op dividenden, interest en royalty</w:t>
      </w:r>
      <w:r>
        <w:rPr>
          <w:rFonts w:ascii="Tahoma" w:hAnsi="Tahoma" w:cs="Tahoma"/>
          <w:color w:val="444444"/>
          <w:sz w:val="20"/>
          <w:szCs w:val="20"/>
        </w:rPr>
        <w:t>�</w:t>
      </w:r>
      <w:r w:rsidRPr="0064181D">
        <w:rPr>
          <w:rFonts w:ascii="Titillium Web" w:hAnsi="Titillium Web"/>
          <w:color w:val="444444"/>
          <w:sz w:val="20"/>
          <w:szCs w:val="20"/>
          <w:lang w:val="nl-BE"/>
        </w:rPr>
        <w:t>s, is het nuttig om hier de financi</w:t>
      </w:r>
      <w:r>
        <w:rPr>
          <w:rFonts w:ascii="Tahoma" w:hAnsi="Tahoma" w:cs="Tahoma"/>
          <w:color w:val="444444"/>
          <w:sz w:val="20"/>
          <w:szCs w:val="20"/>
        </w:rPr>
        <w:t>�</w:t>
      </w:r>
      <w:r w:rsidRPr="0064181D">
        <w:rPr>
          <w:rFonts w:ascii="Titillium Web" w:hAnsi="Titillium Web"/>
          <w:color w:val="444444"/>
          <w:sz w:val="20"/>
          <w:szCs w:val="20"/>
          <w:lang w:val="nl-BE"/>
        </w:rPr>
        <w:t>le instellingen aan te duiden die zouden moeten beschouwd worden als inwoners van Belgi</w:t>
      </w:r>
      <w:r>
        <w:rPr>
          <w:rFonts w:ascii="Tahoma" w:hAnsi="Tahoma" w:cs="Tahoma"/>
          <w:color w:val="444444"/>
          <w:sz w:val="20"/>
          <w:szCs w:val="20"/>
        </w:rPr>
        <w:t>�</w:t>
      </w:r>
      <w:r w:rsidRPr="0064181D">
        <w:rPr>
          <w:rFonts w:ascii="Titillium Web" w:hAnsi="Titillium Web"/>
          <w:color w:val="444444"/>
          <w:sz w:val="20"/>
          <w:szCs w:val="20"/>
          <w:lang w:val="nl-BE"/>
        </w:rPr>
        <w:t xml:space="preserve"> en die bijgevolg in de Verenigde Arabische Emiraten de vrijstelling van die vooralsnog hypothetische bronheffing zouden genieten. </w:t>
      </w:r>
      <w:r>
        <w:rPr>
          <w:rFonts w:ascii="Titillium Web" w:hAnsi="Titillium Web"/>
          <w:color w:val="444444"/>
          <w:sz w:val="20"/>
          <w:szCs w:val="20"/>
        </w:rPr>
        <w:t>Het zou gaan om:</w:t>
      </w:r>
    </w:p>
    <w:p w:rsidR="0064181D" w:rsidRDefault="0064181D" w:rsidP="0064181D">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4181D" w:rsidRDefault="0064181D" w:rsidP="0064181D">
      <w:pPr>
        <w:pStyle w:val="Normaalweb"/>
        <w:shd w:val="clear" w:color="auto" w:fill="FFFFFF"/>
        <w:rPr>
          <w:rFonts w:ascii="Titillium Web" w:hAnsi="Titillium Web"/>
          <w:color w:val="444444"/>
          <w:sz w:val="20"/>
          <w:szCs w:val="20"/>
        </w:rPr>
      </w:pPr>
      <w:r>
        <w:rPr>
          <w:rFonts w:ascii="Titillium Web" w:hAnsi="Titillium Web"/>
          <w:color w:val="444444"/>
          <w:sz w:val="20"/>
          <w:szCs w:val="20"/>
        </w:rPr>
        <w:t>- Financi</w:t>
      </w:r>
      <w:r>
        <w:rPr>
          <w:rFonts w:ascii="Tahoma" w:hAnsi="Tahoma" w:cs="Tahoma"/>
          <w:color w:val="444444"/>
          <w:sz w:val="20"/>
          <w:szCs w:val="20"/>
        </w:rPr>
        <w:t>�</w:t>
      </w:r>
      <w:r>
        <w:rPr>
          <w:rFonts w:ascii="Titillium Web" w:hAnsi="Titillium Web"/>
          <w:color w:val="444444"/>
          <w:sz w:val="20"/>
          <w:szCs w:val="20"/>
        </w:rPr>
        <w:t xml:space="preserve">le instellingen die in het bezit zijn van en onder toezicht staan van de Belgische Staat, </w:t>
      </w:r>
      <w:r>
        <w:rPr>
          <w:rFonts w:ascii="Tahoma" w:hAnsi="Tahoma" w:cs="Tahoma"/>
          <w:color w:val="444444"/>
          <w:sz w:val="20"/>
          <w:szCs w:val="20"/>
        </w:rPr>
        <w:t>��</w:t>
      </w:r>
      <w:r>
        <w:rPr>
          <w:rFonts w:ascii="Titillium Web" w:hAnsi="Titillium Web"/>
          <w:color w:val="444444"/>
          <w:sz w:val="20"/>
          <w:szCs w:val="20"/>
        </w:rPr>
        <w:t>n van de staatkundige onderdelen of plaatselijke gemeenschappen daarvan, krachtens punt 1 van het Protocol.</w:t>
      </w:r>
    </w:p>
    <w:p w:rsidR="0064181D" w:rsidRDefault="0064181D" w:rsidP="0064181D">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4181D" w:rsidRDefault="0064181D" w:rsidP="0064181D">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financi</w:t>
      </w:r>
      <w:r>
        <w:rPr>
          <w:rFonts w:ascii="Tahoma" w:hAnsi="Tahoma" w:cs="Tahoma"/>
          <w:color w:val="444444"/>
          <w:sz w:val="20"/>
          <w:szCs w:val="20"/>
        </w:rPr>
        <w:t>�</w:t>
      </w:r>
      <w:r>
        <w:rPr>
          <w:rFonts w:ascii="Titillium Web" w:hAnsi="Titillium Web"/>
          <w:color w:val="444444"/>
          <w:sz w:val="20"/>
          <w:szCs w:val="20"/>
        </w:rPr>
        <w:t>le instellingen die voorkomen op de lijst die in overeenstemming met de verwachtingen van punt 4 van het Protocol werd opgesteld door de bevoegde autoriteiten van de twee overeenkomstsluitende Staten, met name:</w:t>
      </w:r>
    </w:p>
    <w:p w:rsidR="0064181D" w:rsidRDefault="0064181D" w:rsidP="0064181D">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4181D" w:rsidRDefault="0064181D" w:rsidP="0064181D">
      <w:pPr>
        <w:numPr>
          <w:ilvl w:val="0"/>
          <w:numId w:val="3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De volgende financi</w:t>
      </w:r>
      <w:r>
        <w:rPr>
          <w:rFonts w:ascii="Tahoma" w:hAnsi="Tahoma" w:cs="Tahoma"/>
          <w:color w:val="444444"/>
          <w:sz w:val="20"/>
          <w:szCs w:val="20"/>
        </w:rPr>
        <w:t>�</w:t>
      </w:r>
      <w:r>
        <w:rPr>
          <w:rFonts w:ascii="Titillium Web" w:hAnsi="Titillium Web"/>
          <w:color w:val="444444"/>
          <w:sz w:val="20"/>
          <w:szCs w:val="20"/>
        </w:rPr>
        <w:t>le overheidsinstellingen:</w:t>
      </w:r>
    </w:p>
    <w:p w:rsidR="0064181D" w:rsidRDefault="0064181D" w:rsidP="0064181D">
      <w:pPr>
        <w:numPr>
          <w:ilvl w:val="1"/>
          <w:numId w:val="3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de Nationale Bank van Belgi</w:t>
      </w:r>
      <w:r>
        <w:rPr>
          <w:rFonts w:ascii="Tahoma" w:hAnsi="Tahoma" w:cs="Tahoma"/>
          <w:color w:val="444444"/>
          <w:sz w:val="20"/>
          <w:szCs w:val="20"/>
        </w:rPr>
        <w:t>�</w:t>
      </w:r>
      <w:r>
        <w:rPr>
          <w:rFonts w:ascii="Titillium Web" w:hAnsi="Titillium Web"/>
          <w:color w:val="444444"/>
          <w:sz w:val="20"/>
          <w:szCs w:val="20"/>
        </w:rPr>
        <w:t xml:space="preserve"> (NBB)</w:t>
      </w:r>
    </w:p>
    <w:p w:rsidR="0064181D" w:rsidRDefault="0064181D" w:rsidP="0064181D">
      <w:pPr>
        <w:numPr>
          <w:ilvl w:val="1"/>
          <w:numId w:val="3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de Nationale Delcrederedienst (ONDD)</w:t>
      </w:r>
    </w:p>
    <w:p w:rsidR="0064181D" w:rsidRDefault="0064181D" w:rsidP="0064181D">
      <w:pPr>
        <w:numPr>
          <w:ilvl w:val="1"/>
          <w:numId w:val="3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de N.V. Delcredere</w:t>
      </w:r>
    </w:p>
    <w:p w:rsidR="0064181D" w:rsidRDefault="0064181D" w:rsidP="0064181D">
      <w:pPr>
        <w:numPr>
          <w:ilvl w:val="1"/>
          <w:numId w:val="3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de Federale Participatie- en Investeringsmaatschappij (FPIM)</w:t>
      </w:r>
    </w:p>
    <w:p w:rsidR="0064181D" w:rsidRDefault="0064181D" w:rsidP="0064181D">
      <w:pPr>
        <w:numPr>
          <w:ilvl w:val="1"/>
          <w:numId w:val="3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de Belgische Maatschappij Voor Internationale Investering (BMI)</w:t>
      </w:r>
    </w:p>
    <w:p w:rsidR="0064181D" w:rsidRDefault="0064181D" w:rsidP="0064181D">
      <w:pPr>
        <w:numPr>
          <w:ilvl w:val="1"/>
          <w:numId w:val="3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het Comit</w:t>
      </w:r>
      <w:r>
        <w:rPr>
          <w:rFonts w:ascii="Tahoma" w:hAnsi="Tahoma" w:cs="Tahoma"/>
          <w:color w:val="444444"/>
          <w:sz w:val="20"/>
          <w:szCs w:val="20"/>
        </w:rPr>
        <w:t>�</w:t>
      </w:r>
      <w:r>
        <w:rPr>
          <w:rFonts w:ascii="Titillium Web" w:hAnsi="Titillium Web"/>
          <w:color w:val="444444"/>
          <w:sz w:val="20"/>
          <w:szCs w:val="20"/>
        </w:rPr>
        <w:t xml:space="preserve"> voor de financi</w:t>
      </w:r>
      <w:r>
        <w:rPr>
          <w:rFonts w:ascii="Tahoma" w:hAnsi="Tahoma" w:cs="Tahoma"/>
          <w:color w:val="444444"/>
          <w:sz w:val="20"/>
          <w:szCs w:val="20"/>
        </w:rPr>
        <w:t>�</w:t>
      </w:r>
      <w:r>
        <w:rPr>
          <w:rFonts w:ascii="Titillium Web" w:hAnsi="Titillium Web"/>
          <w:color w:val="444444"/>
          <w:sz w:val="20"/>
          <w:szCs w:val="20"/>
        </w:rPr>
        <w:t>le ondersteuning van de export (Finexpo)</w:t>
      </w:r>
    </w:p>
    <w:p w:rsidR="0064181D" w:rsidRDefault="0064181D" w:rsidP="0064181D">
      <w:pPr>
        <w:numPr>
          <w:ilvl w:val="1"/>
          <w:numId w:val="3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de N.V. Waarborgbeheer</w:t>
      </w:r>
    </w:p>
    <w:p w:rsidR="0064181D" w:rsidRDefault="0064181D" w:rsidP="0064181D">
      <w:pPr>
        <w:numPr>
          <w:ilvl w:val="1"/>
          <w:numId w:val="3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de Investeringsmaatschappij voor Vlaanderen (GIMV)</w:t>
      </w:r>
    </w:p>
    <w:p w:rsidR="0064181D" w:rsidRDefault="0064181D" w:rsidP="0064181D">
      <w:pPr>
        <w:numPr>
          <w:ilvl w:val="1"/>
          <w:numId w:val="3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het Brussels Waarborgfonds</w:t>
      </w:r>
    </w:p>
    <w:p w:rsidR="0064181D" w:rsidRDefault="0064181D" w:rsidP="0064181D">
      <w:pPr>
        <w:numPr>
          <w:ilvl w:val="1"/>
          <w:numId w:val="3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de Gewestelijke Investeringsmaatschappij voor Brussel (GIMB)</w:t>
      </w:r>
    </w:p>
    <w:p w:rsidR="0064181D" w:rsidRDefault="0064181D" w:rsidP="0064181D">
      <w:pPr>
        <w:numPr>
          <w:ilvl w:val="1"/>
          <w:numId w:val="3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KMO Brussel (B2E)</w:t>
      </w:r>
    </w:p>
    <w:p w:rsidR="0064181D" w:rsidRDefault="0064181D" w:rsidP="0064181D">
      <w:pPr>
        <w:numPr>
          <w:ilvl w:val="1"/>
          <w:numId w:val="3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de Soci</w:t>
      </w:r>
      <w:r>
        <w:rPr>
          <w:rFonts w:ascii="Tahoma" w:hAnsi="Tahoma" w:cs="Tahoma"/>
          <w:color w:val="444444"/>
          <w:sz w:val="20"/>
          <w:szCs w:val="20"/>
        </w:rPr>
        <w:t>�</w:t>
      </w:r>
      <w:r>
        <w:rPr>
          <w:rFonts w:ascii="Titillium Web" w:hAnsi="Titillium Web"/>
          <w:color w:val="444444"/>
          <w:sz w:val="20"/>
          <w:szCs w:val="20"/>
        </w:rPr>
        <w:t>t</w:t>
      </w:r>
      <w:r>
        <w:rPr>
          <w:rFonts w:ascii="Tahoma" w:hAnsi="Tahoma" w:cs="Tahoma"/>
          <w:color w:val="444444"/>
          <w:sz w:val="20"/>
          <w:szCs w:val="20"/>
        </w:rPr>
        <w:t>�</w:t>
      </w:r>
      <w:r>
        <w:rPr>
          <w:rFonts w:ascii="Titillium Web" w:hAnsi="Titillium Web"/>
          <w:color w:val="444444"/>
          <w:sz w:val="20"/>
          <w:szCs w:val="20"/>
        </w:rPr>
        <w:t xml:space="preserve"> R</w:t>
      </w:r>
      <w:r>
        <w:rPr>
          <w:rFonts w:ascii="Tahoma" w:hAnsi="Tahoma" w:cs="Tahoma"/>
          <w:color w:val="444444"/>
          <w:sz w:val="20"/>
          <w:szCs w:val="20"/>
        </w:rPr>
        <w:t>�</w:t>
      </w:r>
      <w:r>
        <w:rPr>
          <w:rFonts w:ascii="Titillium Web" w:hAnsi="Titillium Web"/>
          <w:color w:val="444444"/>
          <w:sz w:val="20"/>
          <w:szCs w:val="20"/>
        </w:rPr>
        <w:t>gionale d</w:t>
      </w:r>
      <w:r>
        <w:rPr>
          <w:rFonts w:ascii="Tahoma" w:hAnsi="Tahoma" w:cs="Tahoma"/>
          <w:color w:val="444444"/>
          <w:sz w:val="20"/>
          <w:szCs w:val="20"/>
        </w:rPr>
        <w:t>�</w:t>
      </w:r>
      <w:r>
        <w:rPr>
          <w:rFonts w:ascii="Titillium Web" w:hAnsi="Titillium Web"/>
          <w:color w:val="444444"/>
          <w:sz w:val="20"/>
          <w:szCs w:val="20"/>
        </w:rPr>
        <w:t>Investissement de Wallonie (SRIW)</w:t>
      </w:r>
    </w:p>
    <w:p w:rsidR="0064181D" w:rsidRDefault="0064181D" w:rsidP="0064181D">
      <w:pPr>
        <w:numPr>
          <w:ilvl w:val="1"/>
          <w:numId w:val="3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de Soci</w:t>
      </w:r>
      <w:r>
        <w:rPr>
          <w:rFonts w:ascii="Tahoma" w:hAnsi="Tahoma" w:cs="Tahoma"/>
          <w:color w:val="444444"/>
          <w:sz w:val="20"/>
          <w:szCs w:val="20"/>
        </w:rPr>
        <w:t>�</w:t>
      </w:r>
      <w:r>
        <w:rPr>
          <w:rFonts w:ascii="Titillium Web" w:hAnsi="Titillium Web"/>
          <w:color w:val="444444"/>
          <w:sz w:val="20"/>
          <w:szCs w:val="20"/>
        </w:rPr>
        <w:t>t</w:t>
      </w:r>
      <w:r>
        <w:rPr>
          <w:rFonts w:ascii="Tahoma" w:hAnsi="Tahoma" w:cs="Tahoma"/>
          <w:color w:val="444444"/>
          <w:sz w:val="20"/>
          <w:szCs w:val="20"/>
        </w:rPr>
        <w:t>�</w:t>
      </w:r>
      <w:r>
        <w:rPr>
          <w:rFonts w:ascii="Titillium Web" w:hAnsi="Titillium Web"/>
          <w:color w:val="444444"/>
          <w:sz w:val="20"/>
          <w:szCs w:val="20"/>
        </w:rPr>
        <w:t xml:space="preserve"> wallonne de Financement de l</w:t>
      </w:r>
      <w:r>
        <w:rPr>
          <w:rFonts w:ascii="Tahoma" w:hAnsi="Tahoma" w:cs="Tahoma"/>
          <w:color w:val="444444"/>
          <w:sz w:val="20"/>
          <w:szCs w:val="20"/>
        </w:rPr>
        <w:t>�</w:t>
      </w:r>
      <w:r>
        <w:rPr>
          <w:rFonts w:ascii="Titillium Web" w:hAnsi="Titillium Web"/>
          <w:color w:val="444444"/>
          <w:sz w:val="20"/>
          <w:szCs w:val="20"/>
        </w:rPr>
        <w:t>Exportation et de l</w:t>
      </w:r>
      <w:r>
        <w:rPr>
          <w:rFonts w:ascii="Tahoma" w:hAnsi="Tahoma" w:cs="Tahoma"/>
          <w:color w:val="444444"/>
          <w:sz w:val="20"/>
          <w:szCs w:val="20"/>
        </w:rPr>
        <w:t>�</w:t>
      </w:r>
      <w:r>
        <w:rPr>
          <w:rFonts w:ascii="Titillium Web" w:hAnsi="Titillium Web"/>
          <w:color w:val="444444"/>
          <w:sz w:val="20"/>
          <w:szCs w:val="20"/>
        </w:rPr>
        <w:t>Internationalisation des entreprises wallonnes (Sofinex)</w:t>
      </w:r>
    </w:p>
    <w:p w:rsidR="0064181D" w:rsidRDefault="0064181D" w:rsidP="0064181D">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4181D" w:rsidRDefault="0064181D" w:rsidP="0064181D">
      <w:pPr>
        <w:numPr>
          <w:ilvl w:val="0"/>
          <w:numId w:val="33"/>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De particuliere financi</w:t>
      </w:r>
      <w:r>
        <w:rPr>
          <w:rFonts w:ascii="Tahoma" w:hAnsi="Tahoma" w:cs="Tahoma"/>
          <w:color w:val="444444"/>
          <w:sz w:val="20"/>
          <w:szCs w:val="20"/>
        </w:rPr>
        <w:t>�</w:t>
      </w:r>
      <w:r>
        <w:rPr>
          <w:rFonts w:ascii="Titillium Web" w:hAnsi="Titillium Web"/>
          <w:color w:val="444444"/>
          <w:sz w:val="20"/>
          <w:szCs w:val="20"/>
        </w:rPr>
        <w:t>le instellingen die onder toezicht staan van de Nationale Bank van Belgi</w:t>
      </w:r>
      <w:r>
        <w:rPr>
          <w:rFonts w:ascii="Tahoma" w:hAnsi="Tahoma" w:cs="Tahoma"/>
          <w:color w:val="444444"/>
          <w:sz w:val="20"/>
          <w:szCs w:val="20"/>
        </w:rPr>
        <w:t>�</w:t>
      </w:r>
      <w:r>
        <w:rPr>
          <w:rFonts w:ascii="Titillium Web" w:hAnsi="Titillium Web"/>
          <w:color w:val="444444"/>
          <w:sz w:val="20"/>
          <w:szCs w:val="20"/>
        </w:rPr>
        <w:t xml:space="preserve"> (NBB) of van de Financial Services and Markets Authority (FSMA).".</w:t>
      </w:r>
    </w:p>
    <w:p w:rsidR="0064181D" w:rsidRDefault="0064181D" w:rsidP="0064181D">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4181D" w:rsidRDefault="0064181D" w:rsidP="0064181D">
      <w:pPr>
        <w:pStyle w:val="Normaalweb"/>
        <w:shd w:val="clear" w:color="auto" w:fill="FFFFFF"/>
        <w:rPr>
          <w:rFonts w:ascii="Titillium Web" w:hAnsi="Titillium Web"/>
          <w:color w:val="444444"/>
          <w:sz w:val="20"/>
          <w:szCs w:val="20"/>
        </w:rPr>
      </w:pPr>
      <w:r>
        <w:rPr>
          <w:rFonts w:ascii="Titillium Web" w:hAnsi="Titillium Web"/>
          <w:color w:val="444444"/>
          <w:sz w:val="20"/>
          <w:szCs w:val="20"/>
        </w:rPr>
        <w:t>NAMENS DE MINISTER:</w:t>
      </w:r>
    </w:p>
    <w:p w:rsidR="0064181D" w:rsidRDefault="0064181D" w:rsidP="0064181D">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Adjunct-administrateur-generaal van de belastingen,</w:t>
      </w:r>
    </w:p>
    <w:p w:rsidR="0064181D" w:rsidRDefault="0064181D" w:rsidP="0064181D">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Jean-Marc DELPORTE</w:t>
      </w:r>
    </w:p>
    <w:p w:rsidR="0006612D" w:rsidRPr="0006612D" w:rsidRDefault="0006612D" w:rsidP="0064181D">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3"/>
  </w:num>
  <w:num w:numId="4">
    <w:abstractNumId w:val="30"/>
  </w:num>
  <w:num w:numId="5">
    <w:abstractNumId w:val="5"/>
  </w:num>
  <w:num w:numId="6">
    <w:abstractNumId w:val="7"/>
  </w:num>
  <w:num w:numId="7">
    <w:abstractNumId w:val="31"/>
  </w:num>
  <w:num w:numId="8">
    <w:abstractNumId w:val="25"/>
  </w:num>
  <w:num w:numId="9">
    <w:abstractNumId w:val="14"/>
  </w:num>
  <w:num w:numId="10">
    <w:abstractNumId w:val="9"/>
  </w:num>
  <w:num w:numId="11">
    <w:abstractNumId w:val="29"/>
  </w:num>
  <w:num w:numId="12">
    <w:abstractNumId w:val="17"/>
  </w:num>
  <w:num w:numId="13">
    <w:abstractNumId w:val="32"/>
  </w:num>
  <w:num w:numId="14">
    <w:abstractNumId w:val="20"/>
  </w:num>
  <w:num w:numId="15">
    <w:abstractNumId w:val="16"/>
  </w:num>
  <w:num w:numId="16">
    <w:abstractNumId w:val="8"/>
  </w:num>
  <w:num w:numId="17">
    <w:abstractNumId w:val="3"/>
  </w:num>
  <w:num w:numId="18">
    <w:abstractNumId w:val="11"/>
  </w:num>
  <w:num w:numId="19">
    <w:abstractNumId w:val="28"/>
  </w:num>
  <w:num w:numId="20">
    <w:abstractNumId w:val="24"/>
  </w:num>
  <w:num w:numId="21">
    <w:abstractNumId w:val="2"/>
  </w:num>
  <w:num w:numId="22">
    <w:abstractNumId w:val="21"/>
  </w:num>
  <w:num w:numId="23">
    <w:abstractNumId w:val="19"/>
  </w:num>
  <w:num w:numId="24">
    <w:abstractNumId w:val="23"/>
  </w:num>
  <w:num w:numId="25">
    <w:abstractNumId w:val="27"/>
  </w:num>
  <w:num w:numId="26">
    <w:abstractNumId w:val="6"/>
  </w:num>
  <w:num w:numId="27">
    <w:abstractNumId w:val="12"/>
  </w:num>
  <w:num w:numId="28">
    <w:abstractNumId w:val="4"/>
  </w:num>
  <w:num w:numId="29">
    <w:abstractNumId w:val="15"/>
  </w:num>
  <w:num w:numId="30">
    <w:abstractNumId w:val="18"/>
  </w:num>
  <w:num w:numId="31">
    <w:abstractNumId w:val="26"/>
  </w:num>
  <w:num w:numId="32">
    <w:abstractNumId w:val="1"/>
  </w:num>
  <w:num w:numId="3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206B0"/>
    <w:rsid w:val="0064181D"/>
    <w:rsid w:val="006451C8"/>
    <w:rsid w:val="006533C4"/>
    <w:rsid w:val="00687173"/>
    <w:rsid w:val="006A2EED"/>
    <w:rsid w:val="006C3A83"/>
    <w:rsid w:val="006F4797"/>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goToFisconetLink('6856cf56-84a3-4608-9267-506af7c93dde',%20'undefine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5557</Characters>
  <Application>Microsoft Office Word</Application>
  <DocSecurity>0</DocSecurity>
  <Lines>222</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2019-05-23T16:30:00Z</dcterms:created>
  <dcterms:modified xsi:type="dcterms:W3CDTF">2019-05-23T16:30:00Z</dcterms:modified>
</cp:coreProperties>
</file>